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39"/>
        </w:tabs>
        <w:jc w:val="center"/>
        <w:rPr>
          <w:rFonts w:hint="eastAsia" w:ascii="隶书" w:eastAsia="隶书"/>
          <w:b/>
          <w:bCs/>
          <w:color w:val="auto"/>
          <w:spacing w:val="-4"/>
          <w:sz w:val="84"/>
          <w:szCs w:val="84"/>
          <w:highlight w:val="none"/>
        </w:rPr>
      </w:pPr>
    </w:p>
    <w:p>
      <w:pPr>
        <w:tabs>
          <w:tab w:val="left" w:pos="1339"/>
        </w:tabs>
        <w:jc w:val="center"/>
        <w:rPr>
          <w:rFonts w:hint="eastAsia" w:ascii="隶书" w:eastAsia="隶书"/>
          <w:b/>
          <w:bCs/>
          <w:color w:val="auto"/>
          <w:spacing w:val="-4"/>
          <w:sz w:val="84"/>
          <w:szCs w:val="84"/>
          <w:highlight w:val="none"/>
        </w:rPr>
      </w:pPr>
    </w:p>
    <w:p>
      <w:pPr>
        <w:tabs>
          <w:tab w:val="left" w:pos="1339"/>
        </w:tabs>
        <w:jc w:val="center"/>
        <w:rPr>
          <w:rFonts w:hint="eastAsia" w:ascii="隶书" w:eastAsia="隶书"/>
          <w:b/>
          <w:bCs/>
          <w:color w:val="auto"/>
          <w:spacing w:val="-4"/>
          <w:sz w:val="84"/>
          <w:szCs w:val="84"/>
          <w:highlight w:val="none"/>
        </w:rPr>
      </w:pPr>
    </w:p>
    <w:p>
      <w:pPr>
        <w:tabs>
          <w:tab w:val="left" w:pos="1339"/>
        </w:tabs>
        <w:jc w:val="center"/>
        <w:rPr>
          <w:rFonts w:hint="eastAsia" w:ascii="方正小标宋简体" w:hAnsi="华文中宋" w:eastAsia="方正小标宋简体"/>
          <w:bCs/>
          <w:color w:val="auto"/>
          <w:spacing w:val="-4"/>
          <w:sz w:val="56"/>
          <w:szCs w:val="72"/>
          <w:highlight w:val="none"/>
          <w:lang w:val="en-US" w:eastAsia="zh-CN"/>
        </w:rPr>
      </w:pPr>
      <w:r>
        <w:rPr>
          <w:rFonts w:hint="eastAsia" w:ascii="方正小标宋简体" w:hAnsi="华文中宋" w:eastAsia="方正小标宋简体"/>
          <w:bCs/>
          <w:color w:val="auto"/>
          <w:spacing w:val="-4"/>
          <w:sz w:val="56"/>
          <w:szCs w:val="72"/>
          <w:highlight w:val="none"/>
        </w:rPr>
        <w:t>六安市</w:t>
      </w:r>
      <w:r>
        <w:rPr>
          <w:rFonts w:hint="eastAsia" w:ascii="方正小标宋简体" w:hAnsi="华文中宋" w:eastAsia="方正小标宋简体"/>
          <w:bCs/>
          <w:color w:val="auto"/>
          <w:spacing w:val="-4"/>
          <w:sz w:val="56"/>
          <w:szCs w:val="72"/>
          <w:highlight w:val="none"/>
          <w:lang w:val="en-US" w:eastAsia="zh-CN"/>
        </w:rPr>
        <w:t>疾病预防控制中心</w:t>
      </w:r>
    </w:p>
    <w:p>
      <w:pPr>
        <w:tabs>
          <w:tab w:val="left" w:pos="1339"/>
        </w:tabs>
        <w:jc w:val="center"/>
        <w:rPr>
          <w:rFonts w:hint="eastAsia" w:ascii="方正小标宋简体" w:hAnsi="华文中宋" w:eastAsia="方正小标宋简体"/>
          <w:bCs/>
          <w:color w:val="auto"/>
          <w:spacing w:val="-4"/>
          <w:sz w:val="56"/>
          <w:szCs w:val="72"/>
          <w:highlight w:val="none"/>
          <w:lang w:eastAsia="zh-CN"/>
        </w:rPr>
      </w:pPr>
      <w:r>
        <w:rPr>
          <w:rFonts w:hint="eastAsia" w:ascii="方正小标宋简体" w:hAnsi="华文中宋" w:eastAsia="方正小标宋简体"/>
          <w:bCs/>
          <w:color w:val="auto"/>
          <w:spacing w:val="-4"/>
          <w:sz w:val="56"/>
          <w:szCs w:val="72"/>
          <w:highlight w:val="none"/>
          <w:lang w:eastAsia="zh-CN"/>
        </w:rPr>
        <w:t>202</w:t>
      </w:r>
      <w:r>
        <w:rPr>
          <w:rFonts w:hint="eastAsia" w:ascii="方正小标宋简体" w:hAnsi="华文中宋" w:eastAsia="方正小标宋简体"/>
          <w:bCs/>
          <w:color w:val="auto"/>
          <w:spacing w:val="-4"/>
          <w:sz w:val="56"/>
          <w:szCs w:val="72"/>
          <w:highlight w:val="none"/>
          <w:lang w:val="en-US" w:eastAsia="zh-CN"/>
        </w:rPr>
        <w:t>3</w:t>
      </w:r>
      <w:r>
        <w:rPr>
          <w:rFonts w:hint="eastAsia" w:ascii="方正小标宋简体" w:hAnsi="华文中宋" w:eastAsia="方正小标宋简体"/>
          <w:bCs/>
          <w:color w:val="auto"/>
          <w:spacing w:val="-4"/>
          <w:sz w:val="56"/>
          <w:szCs w:val="72"/>
          <w:highlight w:val="none"/>
        </w:rPr>
        <w:t>年</w:t>
      </w:r>
      <w:r>
        <w:rPr>
          <w:rFonts w:hint="eastAsia" w:ascii="方正小标宋简体" w:hAnsi="华文中宋" w:eastAsia="方正小标宋简体"/>
          <w:bCs/>
          <w:color w:val="auto"/>
          <w:spacing w:val="-4"/>
          <w:sz w:val="56"/>
          <w:szCs w:val="72"/>
          <w:highlight w:val="none"/>
          <w:u w:val="none"/>
          <w:lang w:eastAsia="zh-CN"/>
        </w:rPr>
        <w:t>单位</w:t>
      </w:r>
      <w:r>
        <w:rPr>
          <w:rFonts w:hint="eastAsia" w:ascii="方正小标宋简体" w:hAnsi="华文中宋" w:eastAsia="方正小标宋简体"/>
          <w:bCs/>
          <w:color w:val="auto"/>
          <w:spacing w:val="-4"/>
          <w:sz w:val="56"/>
          <w:szCs w:val="72"/>
          <w:highlight w:val="none"/>
        </w:rPr>
        <w:t>预算</w:t>
      </w:r>
    </w:p>
    <w:p>
      <w:pPr>
        <w:tabs>
          <w:tab w:val="left" w:pos="1339"/>
        </w:tabs>
        <w:rPr>
          <w:rFonts w:hint="eastAsia" w:ascii="黑体" w:eastAsia="黑体"/>
          <w:color w:val="auto"/>
          <w:spacing w:val="-4"/>
          <w:sz w:val="36"/>
          <w:highlight w:val="none"/>
        </w:rPr>
      </w:pPr>
    </w:p>
    <w:p>
      <w:pPr>
        <w:tabs>
          <w:tab w:val="left" w:pos="1339"/>
        </w:tabs>
        <w:rPr>
          <w:rFonts w:hint="eastAsia" w:ascii="黑体" w:eastAsia="黑体"/>
          <w:color w:val="auto"/>
          <w:spacing w:val="-4"/>
          <w:sz w:val="36"/>
          <w:highlight w:val="none"/>
        </w:rPr>
      </w:pPr>
    </w:p>
    <w:p>
      <w:pPr>
        <w:tabs>
          <w:tab w:val="left" w:pos="1339"/>
        </w:tabs>
        <w:rPr>
          <w:rFonts w:hint="eastAsia" w:ascii="黑体" w:eastAsia="黑体"/>
          <w:color w:val="auto"/>
          <w:spacing w:val="-4"/>
          <w:sz w:val="36"/>
          <w:highlight w:val="none"/>
        </w:rPr>
      </w:pPr>
    </w:p>
    <w:p>
      <w:pPr>
        <w:tabs>
          <w:tab w:val="left" w:pos="1339"/>
        </w:tabs>
        <w:rPr>
          <w:rFonts w:hint="eastAsia" w:ascii="黑体" w:eastAsia="黑体"/>
          <w:color w:val="auto"/>
          <w:spacing w:val="-4"/>
          <w:sz w:val="36"/>
          <w:highlight w:val="none"/>
        </w:rPr>
      </w:pPr>
    </w:p>
    <w:p>
      <w:pPr>
        <w:tabs>
          <w:tab w:val="left" w:pos="1339"/>
        </w:tabs>
        <w:jc w:val="center"/>
        <w:rPr>
          <w:rFonts w:hint="eastAsia" w:ascii="华文中宋" w:hAnsi="华文中宋" w:eastAsia="华文中宋"/>
          <w:bCs/>
          <w:color w:val="auto"/>
          <w:spacing w:val="-4"/>
          <w:sz w:val="52"/>
          <w:szCs w:val="52"/>
          <w:highlight w:val="none"/>
        </w:rPr>
      </w:pPr>
    </w:p>
    <w:p>
      <w:pPr>
        <w:jc w:val="both"/>
        <w:rPr>
          <w:rFonts w:hint="eastAsia" w:ascii="方正小标宋简体" w:hAnsi="仿宋" w:eastAsia="方正小标宋简体"/>
          <w:color w:val="auto"/>
          <w:sz w:val="44"/>
          <w:szCs w:val="44"/>
          <w:highlight w:val="none"/>
        </w:rPr>
      </w:pPr>
    </w:p>
    <w:p>
      <w:pPr>
        <w:jc w:val="both"/>
        <w:rPr>
          <w:rFonts w:hint="eastAsia" w:ascii="方正小标宋简体" w:hAnsi="仿宋" w:eastAsia="方正小标宋简体"/>
          <w:color w:val="auto"/>
          <w:sz w:val="44"/>
          <w:szCs w:val="44"/>
          <w:highlight w:val="none"/>
        </w:rPr>
      </w:pPr>
    </w:p>
    <w:p>
      <w:pPr>
        <w:jc w:val="both"/>
        <w:rPr>
          <w:rFonts w:hint="eastAsia" w:ascii="方正小标宋简体" w:hAnsi="仿宋" w:eastAsia="方正小标宋简体"/>
          <w:color w:val="auto"/>
          <w:sz w:val="44"/>
          <w:szCs w:val="44"/>
          <w:highlight w:val="none"/>
        </w:rPr>
      </w:pPr>
    </w:p>
    <w:p>
      <w:pPr>
        <w:jc w:val="both"/>
        <w:rPr>
          <w:rFonts w:hint="eastAsia" w:ascii="方正小标宋简体" w:hAnsi="仿宋" w:eastAsia="方正小标宋简体"/>
          <w:color w:val="auto"/>
          <w:sz w:val="44"/>
          <w:szCs w:val="44"/>
          <w:highlight w:val="none"/>
        </w:rPr>
      </w:pPr>
    </w:p>
    <w:p>
      <w:pPr>
        <w:jc w:val="both"/>
        <w:rPr>
          <w:rFonts w:hint="eastAsia" w:ascii="方正小标宋简体" w:hAnsi="仿宋" w:eastAsia="方正小标宋简体"/>
          <w:color w:val="auto"/>
          <w:sz w:val="44"/>
          <w:szCs w:val="44"/>
          <w:highlight w:val="none"/>
        </w:rPr>
      </w:pPr>
    </w:p>
    <w:p>
      <w:pPr>
        <w:jc w:val="center"/>
        <w:rPr>
          <w:rFonts w:hint="eastAsia" w:ascii="方正小标宋简体" w:hAnsi="仿宋" w:eastAsia="方正小标宋简体"/>
          <w:color w:val="auto"/>
          <w:sz w:val="44"/>
          <w:szCs w:val="44"/>
          <w:highlight w:val="none"/>
        </w:rPr>
      </w:pPr>
    </w:p>
    <w:p>
      <w:pPr>
        <w:pStyle w:val="5"/>
        <w:widowControl w:val="0"/>
        <w:adjustRightInd w:val="0"/>
        <w:snapToGrid w:val="0"/>
        <w:spacing w:before="0" w:beforeAutospacing="0" w:after="0" w:afterAutospacing="0" w:line="360" w:lineRule="auto"/>
        <w:jc w:val="both"/>
        <w:outlineLvl w:val="0"/>
        <w:rPr>
          <w:rFonts w:ascii="Times New Roman" w:hAnsi="Times New Roman" w:eastAsia="黑体" w:cs="Times New Roman"/>
          <w:bCs/>
          <w:color w:val="000000" w:themeColor="text1"/>
          <w:sz w:val="36"/>
          <w:szCs w:val="36"/>
          <w:highlight w:val="none"/>
          <w14:textFill>
            <w14:solidFill>
              <w14:schemeClr w14:val="tx1"/>
            </w14:solidFill>
          </w14:textFill>
        </w:rPr>
      </w:pPr>
    </w:p>
    <w:p>
      <w:pPr>
        <w:spacing w:line="44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r>
        <w:rPr>
          <w:rFonts w:ascii="Times New Roman" w:hAnsi="Times New Roman" w:eastAsia="方正小标宋简体"/>
          <w:color w:val="000000" w:themeColor="text1"/>
          <w:sz w:val="44"/>
          <w:szCs w:val="44"/>
          <w:highlight w:val="none"/>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方正小标宋简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both"/>
        <w:textAlignment w:val="auto"/>
        <w:rPr>
          <w:rFonts w:ascii="Times New Roman" w:hAnsi="Times New Roman" w:eastAsia="仿宋_GB2312"/>
          <w:b/>
          <w:color w:val="000000" w:themeColor="text1"/>
          <w:sz w:val="32"/>
          <w:szCs w:val="32"/>
          <w:highlight w:val="none"/>
          <w14:textFill>
            <w14:solidFill>
              <w14:schemeClr w14:val="tx1"/>
            </w14:solidFill>
          </w14:textFill>
        </w:rPr>
      </w:pPr>
      <w:r>
        <w:rPr>
          <w:rFonts w:ascii="Times New Roman" w:hAnsi="Times New Roman" w:eastAsia="仿宋_GB2312"/>
          <w:b/>
          <w:color w:val="000000" w:themeColor="text1"/>
          <w:sz w:val="32"/>
          <w:szCs w:val="32"/>
          <w:highlight w:val="none"/>
          <w14:textFill>
            <w14:solidFill>
              <w14:schemeClr w14:val="tx1"/>
            </w14:solidFill>
          </w14:textFill>
        </w:rPr>
        <w:t>第一部分</w:t>
      </w:r>
      <w:r>
        <w:rPr>
          <w:rFonts w:hint="eastAsia" w:ascii="Times New Roman" w:hAnsi="Times New Roman" w:eastAsia="仿宋_GB2312"/>
          <w:b/>
          <w:color w:val="000000" w:themeColor="text1"/>
          <w:sz w:val="32"/>
          <w:szCs w:val="32"/>
          <w:highlight w:val="none"/>
          <w14:textFill>
            <w14:solidFill>
              <w14:schemeClr w14:val="tx1"/>
            </w14:solidFill>
          </w14:textFill>
        </w:rPr>
        <w:t xml:space="preserve">  </w:t>
      </w:r>
      <w:r>
        <w:rPr>
          <w:rFonts w:hint="eastAsia" w:ascii="Times New Roman" w:hAnsi="Times New Roman" w:eastAsia="仿宋_GB2312"/>
          <w:b/>
          <w:color w:val="000000" w:themeColor="text1"/>
          <w:sz w:val="32"/>
          <w:szCs w:val="32"/>
          <w:highlight w:val="none"/>
          <w:u w:val="none"/>
          <w:lang w:val="en-US" w:eastAsia="zh-CN"/>
          <w14:textFill>
            <w14:solidFill>
              <w14:schemeClr w14:val="tx1"/>
            </w14:solidFill>
          </w14:textFill>
        </w:rPr>
        <w:t>单位</w:t>
      </w:r>
      <w:r>
        <w:rPr>
          <w:rFonts w:ascii="Times New Roman" w:hAnsi="Times New Roman" w:eastAsia="仿宋_GB2312"/>
          <w:b/>
          <w:color w:val="000000" w:themeColor="text1"/>
          <w:sz w:val="32"/>
          <w:szCs w:val="32"/>
          <w:highlight w:val="none"/>
          <w14:textFill>
            <w14:solidFill>
              <w14:schemeClr w14:val="tx1"/>
            </w14:solidFill>
          </w14:textFill>
        </w:rPr>
        <w:t>概况</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主要</w:t>
      </w:r>
      <w:r>
        <w:rPr>
          <w:rFonts w:ascii="Times New Roman" w:hAnsi="Times New Roman" w:eastAsia="仿宋_GB2312"/>
          <w:color w:val="000000" w:themeColor="text1"/>
          <w:sz w:val="32"/>
          <w:szCs w:val="32"/>
          <w:highlight w:val="none"/>
          <w14:textFill>
            <w14:solidFill>
              <w14:schemeClr w14:val="tx1"/>
            </w14:solidFill>
          </w14:textFill>
        </w:rPr>
        <w:t>职责</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2.</w:t>
      </w:r>
      <w:r>
        <w:rPr>
          <w:rFonts w:hint="eastAsia" w:ascii="Times New Roman" w:hAnsi="Times New Roman" w:eastAsia="仿宋_GB2312"/>
          <w:color w:val="000000" w:themeColor="text1"/>
          <w:sz w:val="32"/>
          <w:szCs w:val="32"/>
          <w:highlight w:val="none"/>
          <w14:textFill>
            <w14:solidFill>
              <w14:schemeClr w14:val="tx1"/>
            </w14:solidFill>
          </w14:textFill>
        </w:rPr>
        <w:t>单位</w:t>
      </w:r>
      <w:r>
        <w:rPr>
          <w:rFonts w:ascii="Times New Roman" w:hAnsi="Times New Roman" w:eastAsia="仿宋_GB2312"/>
          <w:color w:val="000000" w:themeColor="text1"/>
          <w:sz w:val="32"/>
          <w:szCs w:val="32"/>
          <w:highlight w:val="none"/>
          <w14:textFill>
            <w14:solidFill>
              <w14:schemeClr w14:val="tx1"/>
            </w14:solidFill>
          </w14:textFill>
        </w:rPr>
        <w:t>预算构成</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3.</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年</w:t>
      </w:r>
      <w:r>
        <w:rPr>
          <w:rFonts w:ascii="Times New Roman" w:hAnsi="Times New Roman" w:eastAsia="仿宋_GB2312"/>
          <w:color w:val="000000" w:themeColor="text1"/>
          <w:sz w:val="32"/>
          <w:szCs w:val="32"/>
          <w:highlight w:val="none"/>
          <w14:textFill>
            <w14:solidFill>
              <w14:schemeClr w14:val="tx1"/>
            </w14:solidFill>
          </w14:textFill>
        </w:rPr>
        <w:t>度主要工作任务</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both"/>
        <w:textAlignment w:val="auto"/>
        <w:rPr>
          <w:rFonts w:ascii="Times New Roman" w:hAnsi="Times New Roman" w:eastAsia="仿宋_GB2312"/>
          <w:b/>
          <w:color w:val="000000" w:themeColor="text1"/>
          <w:sz w:val="32"/>
          <w:szCs w:val="32"/>
          <w:highlight w:val="none"/>
          <w14:textFill>
            <w14:solidFill>
              <w14:schemeClr w14:val="tx1"/>
            </w14:solidFill>
          </w14:textFill>
        </w:rPr>
      </w:pPr>
      <w:r>
        <w:rPr>
          <w:rFonts w:ascii="Times New Roman" w:hAnsi="Times New Roman" w:eastAsia="仿宋_GB2312"/>
          <w:b/>
          <w:color w:val="000000" w:themeColor="text1"/>
          <w:sz w:val="32"/>
          <w:szCs w:val="32"/>
          <w:highlight w:val="none"/>
          <w14:textFill>
            <w14:solidFill>
              <w14:schemeClr w14:val="tx1"/>
            </w14:solidFill>
          </w14:textFill>
        </w:rPr>
        <w:t>第二部分</w:t>
      </w:r>
      <w:r>
        <w:rPr>
          <w:rFonts w:hint="eastAsia" w:ascii="Times New Roman" w:hAnsi="Times New Roman" w:eastAsia="仿宋_GB2312"/>
          <w:b/>
          <w:color w:val="000000" w:themeColor="text1"/>
          <w:sz w:val="32"/>
          <w:szCs w:val="32"/>
          <w:highlight w:val="none"/>
          <w14:textFill>
            <w14:solidFill>
              <w14:schemeClr w14:val="tx1"/>
            </w14:solidFill>
          </w14:textFill>
        </w:rPr>
        <w:t xml:space="preserve">  </w:t>
      </w:r>
      <w:r>
        <w:rPr>
          <w:rFonts w:hint="eastAsia" w:ascii="Times New Roman" w:hAnsi="Times New Roman" w:eastAsia="仿宋_GB2312"/>
          <w:b/>
          <w:color w:val="000000" w:themeColor="text1"/>
          <w:sz w:val="32"/>
          <w:szCs w:val="32"/>
          <w:highlight w:val="none"/>
          <w:lang w:eastAsia="zh-CN"/>
          <w14:textFill>
            <w14:solidFill>
              <w14:schemeClr w14:val="tx1"/>
            </w14:solidFill>
          </w14:textFill>
        </w:rPr>
        <w:t>202</w:t>
      </w: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b/>
          <w:color w:val="000000" w:themeColor="text1"/>
          <w:sz w:val="32"/>
          <w:szCs w:val="32"/>
          <w:highlight w:val="none"/>
          <w:lang w:eastAsia="zh-CN"/>
          <w14:textFill>
            <w14:solidFill>
              <w14:schemeClr w14:val="tx1"/>
            </w14:solidFill>
          </w14:textFill>
        </w:rPr>
        <w:t>年</w:t>
      </w:r>
      <w:r>
        <w:rPr>
          <w:rFonts w:ascii="Times New Roman" w:hAnsi="Times New Roman" w:eastAsia="仿宋_GB2312"/>
          <w:b/>
          <w:color w:val="000000" w:themeColor="text1"/>
          <w:sz w:val="32"/>
          <w:szCs w:val="32"/>
          <w:highlight w:val="none"/>
          <w14:textFill>
            <w14:solidFill>
              <w14:schemeClr w14:val="tx1"/>
            </w14:solidFill>
          </w14:textFill>
        </w:rPr>
        <w:t>预算</w:t>
      </w:r>
      <w:r>
        <w:rPr>
          <w:rFonts w:hint="eastAsia" w:ascii="Times New Roman" w:hAnsi="Times New Roman" w:eastAsia="仿宋_GB2312"/>
          <w:b/>
          <w:color w:val="000000" w:themeColor="text1"/>
          <w:sz w:val="32"/>
          <w:szCs w:val="32"/>
          <w:highlight w:val="none"/>
          <w14:textFill>
            <w14:solidFill>
              <w14:schemeClr w14:val="tx1"/>
            </w14:solidFill>
          </w14:textFill>
        </w:rPr>
        <w:t>报</w:t>
      </w:r>
      <w:r>
        <w:rPr>
          <w:rFonts w:ascii="Times New Roman" w:hAnsi="Times New Roman" w:eastAsia="仿宋_GB2312"/>
          <w:b/>
          <w:color w:val="000000" w:themeColor="text1"/>
          <w:sz w:val="32"/>
          <w:szCs w:val="32"/>
          <w:highlight w:val="none"/>
          <w14:textFill>
            <w14:solidFill>
              <w14:schemeClr w14:val="tx1"/>
            </w14:solidFill>
          </w14:textFill>
        </w:rPr>
        <w:t>表</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olor w:val="000000" w:themeColor="text1"/>
          <w:sz w:val="32"/>
          <w:szCs w:val="32"/>
          <w:highlight w:val="none"/>
          <w:lang w:eastAsia="zh-CN"/>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收支总表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2.</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收入总表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支出总表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财政拨款收支总表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16" w:firstLineChars="200"/>
        <w:jc w:val="both"/>
        <w:textAlignment w:val="auto"/>
        <w:rPr>
          <w:rFonts w:ascii="Times New Roman" w:hAnsi="Times New Roman" w:eastAsia="仿宋_GB2312"/>
          <w:color w:val="000000" w:themeColor="text1"/>
          <w:spacing w:val="-6"/>
          <w:sz w:val="32"/>
          <w:szCs w:val="32"/>
          <w:highlight w:val="none"/>
          <w14:textFill>
            <w14:solidFill>
              <w14:schemeClr w14:val="tx1"/>
            </w14:solidFill>
          </w14:textFill>
        </w:rPr>
      </w:pPr>
      <w:r>
        <w:rPr>
          <w:rFonts w:hint="eastAsia" w:ascii="Times New Roman" w:hAnsi="Times New Roman" w:eastAsia="仿宋_GB2312"/>
          <w:color w:val="000000" w:themeColor="text1"/>
          <w:spacing w:val="-6"/>
          <w:sz w:val="32"/>
          <w:szCs w:val="32"/>
          <w:highlight w:val="none"/>
          <w:lang w:val="en-US" w:eastAsia="zh-CN"/>
          <w14:textFill>
            <w14:solidFill>
              <w14:schemeClr w14:val="tx1"/>
            </w14:solidFill>
          </w14:textFill>
        </w:rPr>
        <w:t>5.</w:t>
      </w:r>
      <w:r>
        <w:rPr>
          <w:rFonts w:hint="eastAsia" w:ascii="Times New Roman" w:hAnsi="Times New Roman" w:eastAsia="仿宋_GB2312"/>
          <w:color w:val="000000" w:themeColor="text1"/>
          <w:spacing w:val="-6"/>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pacing w:val="-6"/>
          <w:sz w:val="32"/>
          <w:szCs w:val="32"/>
          <w:highlight w:val="none"/>
          <w:lang w:eastAsia="zh-CN"/>
          <w14:textFill>
            <w14:solidFill>
              <w14:schemeClr w14:val="tx1"/>
            </w14:solidFill>
          </w14:textFill>
        </w:rPr>
        <w:t>2023年</w:t>
      </w:r>
      <w:r>
        <w:rPr>
          <w:rFonts w:ascii="Times New Roman" w:hAnsi="Times New Roman" w:eastAsia="仿宋_GB2312"/>
          <w:color w:val="000000" w:themeColor="text1"/>
          <w:spacing w:val="-6"/>
          <w:sz w:val="32"/>
          <w:szCs w:val="32"/>
          <w:highlight w:val="none"/>
          <w14:textFill>
            <w14:solidFill>
              <w14:schemeClr w14:val="tx1"/>
            </w14:solidFill>
          </w14:textFill>
        </w:rPr>
        <w:t>一般公共预算支出表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6.</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一般公共预算基本支出表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7.</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政府性基金预算支出表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8.</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国有资本经营预算支出表</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9.</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基本支出总表</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10.六安市疾病预防控制中心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项目</w:t>
      </w:r>
      <w:r>
        <w:rPr>
          <w:rFonts w:ascii="Times New Roman" w:hAnsi="Times New Roman" w:eastAsia="仿宋_GB2312"/>
          <w:color w:val="000000" w:themeColor="text1"/>
          <w:sz w:val="32"/>
          <w:szCs w:val="32"/>
          <w:highlight w:val="none"/>
          <w14:textFill>
            <w14:solidFill>
              <w14:schemeClr w14:val="tx1"/>
            </w14:solidFill>
          </w14:textFill>
        </w:rPr>
        <w:t>支出总表</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14:textFill>
            <w14:solidFill>
              <w14:schemeClr w14:val="tx1"/>
            </w14:solidFill>
          </w14:textFill>
        </w:rPr>
        <w:t>1</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政府采购支出表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16" w:firstLineChars="200"/>
        <w:jc w:val="both"/>
        <w:textAlignment w:val="auto"/>
        <w:rPr>
          <w:rFonts w:hint="eastAsia" w:ascii="Times New Roman" w:hAnsi="Times New Roman" w:eastAsia="仿宋_GB2312"/>
          <w:color w:val="000000" w:themeColor="text1"/>
          <w:spacing w:val="-6"/>
          <w:sz w:val="32"/>
          <w:szCs w:val="32"/>
          <w:highlight w:val="none"/>
          <w:lang w:val="en-US" w:eastAsia="zh-CN"/>
          <w14:textFill>
            <w14:solidFill>
              <w14:schemeClr w14:val="tx1"/>
            </w14:solidFill>
          </w14:textFill>
        </w:rPr>
      </w:pPr>
      <w:r>
        <w:rPr>
          <w:rFonts w:hint="eastAsia" w:ascii="Times New Roman" w:hAnsi="Times New Roman" w:eastAsia="仿宋_GB2312"/>
          <w:color w:val="000000" w:themeColor="text1"/>
          <w:spacing w:val="-6"/>
          <w:sz w:val="32"/>
          <w:szCs w:val="32"/>
          <w:highlight w:val="none"/>
          <w:lang w:val="en-US" w:eastAsia="zh-CN"/>
          <w14:textFill>
            <w14:solidFill>
              <w14:schemeClr w14:val="tx1"/>
            </w14:solidFill>
          </w14:textFill>
        </w:rPr>
        <w:t>12.六安市疾病预防控制中心2023年政府购买服务支出表</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highlight w:val="none"/>
          <w14:textFill>
            <w14:solidFill>
              <w14:schemeClr w14:val="tx1"/>
            </w14:solidFill>
          </w14:textFill>
        </w:rPr>
        <w:t>六安市疾病预防控制中心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“三公”经费支出预算表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16" w:firstLineChars="200"/>
        <w:jc w:val="both"/>
        <w:textAlignment w:val="auto"/>
        <w:rPr>
          <w:rFonts w:hint="eastAsia" w:ascii="Times New Roman" w:hAnsi="Times New Roman" w:eastAsia="仿宋_GB2312"/>
          <w:color w:val="000000" w:themeColor="text1"/>
          <w:spacing w:val="-6"/>
          <w:sz w:val="32"/>
          <w:szCs w:val="32"/>
          <w:highlight w:val="none"/>
          <w:lang w:val="en-US" w:eastAsia="zh-CN"/>
          <w14:textFill>
            <w14:solidFill>
              <w14:schemeClr w14:val="tx1"/>
            </w14:solidFill>
          </w14:textFill>
        </w:rPr>
      </w:pPr>
      <w:r>
        <w:rPr>
          <w:rFonts w:hint="eastAsia" w:ascii="Times New Roman" w:hAnsi="Times New Roman" w:eastAsia="仿宋_GB2312"/>
          <w:color w:val="000000" w:themeColor="text1"/>
          <w:spacing w:val="-6"/>
          <w:sz w:val="32"/>
          <w:szCs w:val="32"/>
          <w:highlight w:val="none"/>
          <w:lang w:val="en-US" w:eastAsia="zh-CN"/>
          <w14:textFill>
            <w14:solidFill>
              <w14:schemeClr w14:val="tx1"/>
            </w14:solidFill>
          </w14:textFill>
        </w:rPr>
        <w:t>14.六安市疾病预防控制中心2023年项目支出绩效目标表</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both"/>
        <w:textAlignment w:val="auto"/>
        <w:rPr>
          <w:rFonts w:ascii="Times New Roman" w:hAnsi="Times New Roman" w:eastAsia="仿宋_GB2312"/>
          <w:b/>
          <w:color w:val="000000" w:themeColor="text1"/>
          <w:sz w:val="32"/>
          <w:szCs w:val="32"/>
          <w:highlight w:val="none"/>
          <w14:textFill>
            <w14:solidFill>
              <w14:schemeClr w14:val="tx1"/>
            </w14:solidFill>
          </w14:textFill>
        </w:rPr>
      </w:pPr>
      <w:r>
        <w:rPr>
          <w:rFonts w:ascii="Times New Roman" w:hAnsi="Times New Roman" w:eastAsia="仿宋_GB2312"/>
          <w:b/>
          <w:color w:val="000000" w:themeColor="text1"/>
          <w:sz w:val="32"/>
          <w:szCs w:val="32"/>
          <w:highlight w:val="none"/>
          <w14:textFill>
            <w14:solidFill>
              <w14:schemeClr w14:val="tx1"/>
            </w14:solidFill>
          </w14:textFill>
        </w:rPr>
        <w:t>第三部分</w:t>
      </w:r>
      <w:r>
        <w:rPr>
          <w:rFonts w:hint="eastAsia" w:ascii="Times New Roman" w:hAnsi="Times New Roman" w:eastAsia="仿宋_GB2312"/>
          <w:b/>
          <w:color w:val="000000" w:themeColor="text1"/>
          <w:sz w:val="32"/>
          <w:szCs w:val="32"/>
          <w:highlight w:val="none"/>
          <w14:textFill>
            <w14:solidFill>
              <w14:schemeClr w14:val="tx1"/>
            </w14:solidFill>
          </w14:textFill>
        </w:rPr>
        <w:t xml:space="preserve">  </w:t>
      </w:r>
      <w:r>
        <w:rPr>
          <w:rFonts w:hint="eastAsia" w:ascii="Times New Roman" w:hAnsi="Times New Roman" w:eastAsia="仿宋_GB2312"/>
          <w:b/>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b/>
          <w:color w:val="000000" w:themeColor="text1"/>
          <w:sz w:val="32"/>
          <w:szCs w:val="32"/>
          <w:highlight w:val="none"/>
          <w:u w:val="none"/>
          <w:lang w:eastAsia="zh-CN"/>
          <w14:textFill>
            <w14:solidFill>
              <w14:schemeClr w14:val="tx1"/>
            </w14:solidFill>
          </w14:textFill>
        </w:rPr>
        <w:t>单位</w:t>
      </w:r>
      <w:r>
        <w:rPr>
          <w:rFonts w:ascii="Times New Roman" w:hAnsi="Times New Roman" w:eastAsia="仿宋_GB2312"/>
          <w:b/>
          <w:color w:val="000000" w:themeColor="text1"/>
          <w:sz w:val="32"/>
          <w:szCs w:val="32"/>
          <w:highlight w:val="none"/>
          <w14:textFill>
            <w14:solidFill>
              <w14:schemeClr w14:val="tx1"/>
            </w14:solidFill>
          </w14:textFill>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收支总表的说明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2.</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收入总表的说明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3.</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支出总表的说明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4.</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财政拨款收支总表的说明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5.</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一般公共预算支出表的说明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6.</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一般公共预算基本支出表的说明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7.</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政府性基金预算支出表的说明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8.</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国有资本经营预算支出表的说明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9.</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项目支出表的说明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14:textFill>
            <w14:solidFill>
              <w14:schemeClr w14:val="tx1"/>
            </w14:solidFill>
          </w14:textFill>
        </w:rPr>
        <w:t>0</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政府采购支出表的说明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11.</w:t>
      </w:r>
      <w:r>
        <w:rPr>
          <w:rFonts w:hint="eastAsia" w:ascii="Times New Roman" w:hAnsi="Times New Roman" w:eastAsia="仿宋_GB2312"/>
          <w:color w:val="000000" w:themeColor="text1"/>
          <w:sz w:val="32"/>
          <w:szCs w:val="32"/>
          <w:highlight w:val="none"/>
          <w14:textFill>
            <w14:solidFill>
              <w14:schemeClr w14:val="tx1"/>
            </w14:solidFill>
          </w14:textFill>
        </w:rPr>
        <w:t>关于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政府购买服务支出表的说明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12.关于2023年“三公”经费支出预算情况说明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default" w:ascii="Times New Roman" w:hAnsi="Times New Roman" w:eastAsia="仿宋_GB2312"/>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13.其他重要事项情况说明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both"/>
        <w:textAlignment w:val="auto"/>
        <w:rPr>
          <w:rFonts w:ascii="Times New Roman" w:hAnsi="Times New Roman" w:eastAsia="仿宋_GB2312"/>
          <w:b/>
          <w:color w:val="000000" w:themeColor="text1"/>
          <w:sz w:val="32"/>
          <w:szCs w:val="32"/>
          <w:highlight w:val="none"/>
          <w14:textFill>
            <w14:solidFill>
              <w14:schemeClr w14:val="tx1"/>
            </w14:solidFill>
          </w14:textFill>
        </w:rPr>
      </w:pPr>
      <w:r>
        <w:rPr>
          <w:rFonts w:ascii="Times New Roman" w:hAnsi="Times New Roman" w:eastAsia="仿宋_GB2312"/>
          <w:b/>
          <w:color w:val="000000" w:themeColor="text1"/>
          <w:sz w:val="32"/>
          <w:szCs w:val="32"/>
          <w:highlight w:val="none"/>
          <w14:textFill>
            <w14:solidFill>
              <w14:schemeClr w14:val="tx1"/>
            </w14:solidFill>
          </w14:textFill>
        </w:rPr>
        <w:t>第</w:t>
      </w:r>
      <w:r>
        <w:rPr>
          <w:rFonts w:hint="eastAsia" w:ascii="Times New Roman" w:hAnsi="Times New Roman" w:eastAsia="仿宋_GB2312"/>
          <w:b/>
          <w:color w:val="000000" w:themeColor="text1"/>
          <w:sz w:val="32"/>
          <w:szCs w:val="32"/>
          <w:highlight w:val="none"/>
          <w:lang w:eastAsia="zh-CN"/>
          <w14:textFill>
            <w14:solidFill>
              <w14:schemeClr w14:val="tx1"/>
            </w14:solidFill>
          </w14:textFill>
        </w:rPr>
        <w:t>四</w:t>
      </w:r>
      <w:r>
        <w:rPr>
          <w:rFonts w:ascii="Times New Roman" w:hAnsi="Times New Roman" w:eastAsia="仿宋_GB2312"/>
          <w:b/>
          <w:color w:val="000000" w:themeColor="text1"/>
          <w:sz w:val="32"/>
          <w:szCs w:val="32"/>
          <w:highlight w:val="none"/>
          <w14:textFill>
            <w14:solidFill>
              <w14:schemeClr w14:val="tx1"/>
            </w14:solidFill>
          </w14:textFill>
        </w:rPr>
        <w:t>部分 名词解释</w:t>
      </w:r>
    </w:p>
    <w:p>
      <w:pPr>
        <w:spacing w:line="58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p>
    <w:p>
      <w:pPr>
        <w:spacing w:line="58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p>
    <w:p>
      <w:pPr>
        <w:spacing w:line="58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p>
    <w:p>
      <w:pPr>
        <w:spacing w:line="58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p>
    <w:p>
      <w:pPr>
        <w:spacing w:line="58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p>
    <w:p>
      <w:pPr>
        <w:spacing w:line="58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p>
    <w:p>
      <w:pPr>
        <w:spacing w:line="580" w:lineRule="exact"/>
        <w:jc w:val="center"/>
        <w:rPr>
          <w:rFonts w:ascii="Times New Roman" w:hAnsi="Times New Roman" w:eastAsia="方正小标宋简体"/>
          <w:color w:val="000000" w:themeColor="text1"/>
          <w:sz w:val="44"/>
          <w:szCs w:val="44"/>
          <w:highlight w:val="none"/>
          <w14:textFill>
            <w14:solidFill>
              <w14:schemeClr w14:val="tx1"/>
            </w14:solidFill>
          </w14:textFill>
        </w:rPr>
      </w:pPr>
    </w:p>
    <w:p>
      <w:pPr>
        <w:rPr>
          <w:rFonts w:ascii="Times New Roman" w:hAnsi="Times New Roman" w:eastAsia="黑体"/>
          <w:color w:val="000000" w:themeColor="text1"/>
          <w:sz w:val="36"/>
          <w:szCs w:val="36"/>
          <w:highlight w:val="none"/>
          <w14:textFill>
            <w14:solidFill>
              <w14:schemeClr w14:val="tx1"/>
            </w14:solidFill>
          </w14:textFill>
        </w:rPr>
      </w:pPr>
      <w:r>
        <w:rPr>
          <w:rFonts w:ascii="Times New Roman" w:hAnsi="Times New Roman" w:eastAsia="黑体"/>
          <w:color w:val="000000" w:themeColor="text1"/>
          <w:sz w:val="36"/>
          <w:szCs w:val="36"/>
          <w:highlight w:val="none"/>
          <w14:textFill>
            <w14:solidFill>
              <w14:schemeClr w14:val="tx1"/>
            </w14:solidFill>
          </w14:textFill>
        </w:rPr>
        <w:br w:type="page"/>
      </w:r>
    </w:p>
    <w:p>
      <w:pPr>
        <w:spacing w:line="560" w:lineRule="exact"/>
        <w:jc w:val="center"/>
        <w:rPr>
          <w:rFonts w:ascii="Times New Roman" w:hAnsi="Times New Roman" w:eastAsia="黑体"/>
          <w:color w:val="000000" w:themeColor="text1"/>
          <w:sz w:val="36"/>
          <w:szCs w:val="36"/>
          <w:highlight w:val="none"/>
          <w14:textFill>
            <w14:solidFill>
              <w14:schemeClr w14:val="tx1"/>
            </w14:solidFill>
          </w14:textFill>
        </w:rPr>
      </w:pPr>
      <w:r>
        <w:rPr>
          <w:rFonts w:ascii="Times New Roman" w:hAnsi="Times New Roman" w:eastAsia="黑体"/>
          <w:color w:val="000000" w:themeColor="text1"/>
          <w:sz w:val="36"/>
          <w:szCs w:val="36"/>
          <w:highlight w:val="none"/>
          <w14:textFill>
            <w14:solidFill>
              <w14:schemeClr w14:val="tx1"/>
            </w14:solidFill>
          </w14:textFill>
        </w:rPr>
        <w:t xml:space="preserve">第一部分  </w:t>
      </w:r>
      <w:r>
        <w:rPr>
          <w:rFonts w:hint="eastAsia" w:ascii="Times New Roman" w:hAnsi="Times New Roman" w:eastAsia="黑体"/>
          <w:color w:val="000000" w:themeColor="text1"/>
          <w:sz w:val="36"/>
          <w:szCs w:val="36"/>
          <w:highlight w:val="none"/>
          <w:u w:val="none"/>
          <w:lang w:eastAsia="zh-CN"/>
          <w14:textFill>
            <w14:solidFill>
              <w14:schemeClr w14:val="tx1"/>
            </w14:solidFill>
          </w14:textFill>
        </w:rPr>
        <w:t>单位</w:t>
      </w:r>
      <w:r>
        <w:rPr>
          <w:rFonts w:ascii="Times New Roman" w:hAnsi="Times New Roman" w:eastAsia="黑体"/>
          <w:color w:val="000000" w:themeColor="text1"/>
          <w:sz w:val="36"/>
          <w:szCs w:val="36"/>
          <w:highlight w:val="none"/>
          <w14:textFill>
            <w14:solidFill>
              <w14:schemeClr w14:val="tx1"/>
            </w14:solidFill>
          </w14:textFill>
        </w:rPr>
        <w:t>概况</w:t>
      </w:r>
    </w:p>
    <w:p>
      <w:pPr>
        <w:spacing w:line="560" w:lineRule="exact"/>
        <w:ind w:firstLine="640" w:firstLineChars="200"/>
        <w:rPr>
          <w:rFonts w:ascii="Times New Roman" w:hAnsi="Times New Roman" w:eastAsia="黑体"/>
          <w:color w:val="000000" w:themeColor="text1"/>
          <w:sz w:val="32"/>
          <w:szCs w:val="32"/>
          <w:highlight w:val="none"/>
          <w14:textFill>
            <w14:solidFill>
              <w14:schemeClr w14:val="tx1"/>
            </w14:solidFill>
          </w14:textFill>
        </w:rPr>
      </w:pPr>
      <w:r>
        <w:rPr>
          <w:rFonts w:ascii="Times New Roman" w:hAnsi="Times New Roman" w:eastAsia="黑体"/>
          <w:color w:val="000000" w:themeColor="text1"/>
          <w:sz w:val="32"/>
          <w:szCs w:val="32"/>
          <w:highlight w:val="none"/>
          <w14:textFill>
            <w14:solidFill>
              <w14:schemeClr w14:val="tx1"/>
            </w14:solidFill>
          </w14:textFill>
        </w:rPr>
        <w:t>一、</w:t>
      </w:r>
      <w:r>
        <w:rPr>
          <w:rFonts w:hint="eastAsia" w:ascii="Times New Roman" w:hAnsi="Times New Roman" w:eastAsia="黑体"/>
          <w:color w:val="000000" w:themeColor="text1"/>
          <w:sz w:val="32"/>
          <w:szCs w:val="32"/>
          <w:highlight w:val="none"/>
          <w:lang w:eastAsia="zh-CN"/>
          <w14:textFill>
            <w14:solidFill>
              <w14:schemeClr w14:val="tx1"/>
            </w14:solidFill>
          </w14:textFill>
        </w:rPr>
        <w:t>主要</w:t>
      </w:r>
      <w:r>
        <w:rPr>
          <w:rFonts w:ascii="Times New Roman" w:hAnsi="Times New Roman" w:eastAsia="黑体"/>
          <w:color w:val="000000" w:themeColor="text1"/>
          <w:sz w:val="32"/>
          <w:szCs w:val="32"/>
          <w:highlight w:val="none"/>
          <w14:textFill>
            <w14:solidFill>
              <w14:schemeClr w14:val="tx1"/>
            </w14:solidFill>
          </w14:textFill>
        </w:rPr>
        <w:t>职责</w:t>
      </w:r>
    </w:p>
    <w:p>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根据市委市政府《关于市级机构改革的实施意见》（六发</w:t>
      </w:r>
      <w:r>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2019</w:t>
      </w:r>
      <w:r>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6号）文件规定，六安市疾病预防控制中心主要职责是：</w:t>
      </w:r>
    </w:p>
    <w:p>
      <w:pPr>
        <w:spacing w:line="560" w:lineRule="exact"/>
        <w:ind w:firstLine="640" w:firstLineChars="2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（一）疾病预防与控制。</w:t>
      </w:r>
    </w:p>
    <w:p>
      <w:pPr>
        <w:spacing w:line="560" w:lineRule="exact"/>
        <w:ind w:firstLine="320" w:firstLineChars="1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    </w:t>
      </w:r>
      <w:r>
        <w:rPr>
          <w:rFonts w:hint="eastAsia" w:ascii="Times New Roman" w:hAnsi="Times New Roman" w:eastAsia="仿宋_GB2312"/>
          <w:color w:val="000000" w:themeColor="text1"/>
          <w:sz w:val="32"/>
          <w:szCs w:val="32"/>
          <w:lang w:eastAsia="zh-CN"/>
          <w14:textFill>
            <w14:solidFill>
              <w14:schemeClr w14:val="tx1"/>
            </w14:solidFill>
          </w14:textFill>
        </w:rPr>
        <w:t>（二）</w:t>
      </w:r>
      <w:r>
        <w:rPr>
          <w:rFonts w:hint="eastAsia" w:ascii="Times New Roman" w:hAnsi="Times New Roman" w:eastAsia="仿宋_GB2312"/>
          <w:color w:val="000000" w:themeColor="text1"/>
          <w:sz w:val="32"/>
          <w:szCs w:val="32"/>
          <w14:textFill>
            <w14:solidFill>
              <w14:schemeClr w14:val="tx1"/>
            </w14:solidFill>
          </w14:textFill>
        </w:rPr>
        <w:t>突发公共卫生事件应急处置。</w:t>
      </w:r>
    </w:p>
    <w:p>
      <w:pPr>
        <w:spacing w:line="560" w:lineRule="exact"/>
        <w:ind w:firstLine="320" w:firstLineChars="1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    </w:t>
      </w:r>
      <w:r>
        <w:rPr>
          <w:rFonts w:hint="eastAsia" w:ascii="Times New Roman" w:hAnsi="Times New Roman" w:eastAsia="仿宋_GB2312"/>
          <w:color w:val="000000" w:themeColor="text1"/>
          <w:sz w:val="32"/>
          <w:szCs w:val="32"/>
          <w:lang w:eastAsia="zh-CN"/>
          <w14:textFill>
            <w14:solidFill>
              <w14:schemeClr w14:val="tx1"/>
            </w14:solidFill>
          </w14:textFill>
        </w:rPr>
        <w:t>（三）</w:t>
      </w:r>
      <w:r>
        <w:rPr>
          <w:rFonts w:hint="eastAsia" w:ascii="Times New Roman" w:hAnsi="Times New Roman" w:eastAsia="仿宋_GB2312"/>
          <w:color w:val="000000" w:themeColor="text1"/>
          <w:sz w:val="32"/>
          <w:szCs w:val="32"/>
          <w14:textFill>
            <w14:solidFill>
              <w14:schemeClr w14:val="tx1"/>
            </w14:solidFill>
          </w14:textFill>
        </w:rPr>
        <w:t>疫情报告及健康相关因素信息管理。</w:t>
      </w:r>
    </w:p>
    <w:p>
      <w:pPr>
        <w:spacing w:line="560" w:lineRule="exact"/>
        <w:ind w:firstLine="320" w:firstLineChars="1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    </w:t>
      </w:r>
      <w:r>
        <w:rPr>
          <w:rFonts w:hint="eastAsia" w:ascii="Times New Roman" w:hAnsi="Times New Roman" w:eastAsia="仿宋_GB2312"/>
          <w:color w:val="000000" w:themeColor="text1"/>
          <w:sz w:val="32"/>
          <w:szCs w:val="32"/>
          <w:lang w:eastAsia="zh-CN"/>
          <w14:textFill>
            <w14:solidFill>
              <w14:schemeClr w14:val="tx1"/>
            </w14:solidFill>
          </w14:textFill>
        </w:rPr>
        <w:t>（四）</w:t>
      </w:r>
      <w:r>
        <w:rPr>
          <w:rFonts w:hint="eastAsia" w:ascii="Times New Roman" w:hAnsi="Times New Roman" w:eastAsia="仿宋_GB2312"/>
          <w:color w:val="000000" w:themeColor="text1"/>
          <w:sz w:val="32"/>
          <w:szCs w:val="32"/>
          <w14:textFill>
            <w14:solidFill>
              <w14:schemeClr w14:val="tx1"/>
            </w14:solidFill>
          </w14:textFill>
        </w:rPr>
        <w:t>健康危险因素监测与干预。</w:t>
      </w:r>
    </w:p>
    <w:p>
      <w:pPr>
        <w:spacing w:line="560" w:lineRule="exact"/>
        <w:ind w:firstLine="320" w:firstLineChars="1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    </w:t>
      </w:r>
      <w:r>
        <w:rPr>
          <w:rFonts w:hint="eastAsia" w:ascii="Times New Roman" w:hAnsi="Times New Roman" w:eastAsia="仿宋_GB2312"/>
          <w:color w:val="000000" w:themeColor="text1"/>
          <w:sz w:val="32"/>
          <w:szCs w:val="32"/>
          <w:lang w:eastAsia="zh-CN"/>
          <w14:textFill>
            <w14:solidFill>
              <w14:schemeClr w14:val="tx1"/>
            </w14:solidFill>
          </w14:textFill>
        </w:rPr>
        <w:t>（五）</w:t>
      </w:r>
      <w:r>
        <w:rPr>
          <w:rFonts w:hint="eastAsia" w:ascii="Times New Roman" w:hAnsi="Times New Roman" w:eastAsia="仿宋_GB2312"/>
          <w:color w:val="000000" w:themeColor="text1"/>
          <w:sz w:val="32"/>
          <w:szCs w:val="32"/>
          <w14:textFill>
            <w14:solidFill>
              <w14:schemeClr w14:val="tx1"/>
            </w14:solidFill>
          </w14:textFill>
        </w:rPr>
        <w:t>实验室检测分析与评价。</w:t>
      </w:r>
    </w:p>
    <w:p>
      <w:pPr>
        <w:spacing w:line="560" w:lineRule="exact"/>
        <w:ind w:firstLine="320" w:firstLineChars="1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    </w:t>
      </w:r>
      <w:r>
        <w:rPr>
          <w:rFonts w:hint="eastAsia" w:ascii="Times New Roman" w:hAnsi="Times New Roman" w:eastAsia="仿宋_GB2312"/>
          <w:color w:val="000000" w:themeColor="text1"/>
          <w:sz w:val="32"/>
          <w:szCs w:val="32"/>
          <w:lang w:eastAsia="zh-CN"/>
          <w14:textFill>
            <w14:solidFill>
              <w14:schemeClr w14:val="tx1"/>
            </w14:solidFill>
          </w14:textFill>
        </w:rPr>
        <w:t>（六）</w:t>
      </w:r>
      <w:r>
        <w:rPr>
          <w:rFonts w:hint="eastAsia" w:ascii="Times New Roman" w:hAnsi="Times New Roman" w:eastAsia="仿宋_GB2312"/>
          <w:color w:val="000000" w:themeColor="text1"/>
          <w:sz w:val="32"/>
          <w:szCs w:val="32"/>
          <w14:textFill>
            <w14:solidFill>
              <w14:schemeClr w14:val="tx1"/>
            </w14:solidFill>
          </w14:textFill>
        </w:rPr>
        <w:t>健康教育与健康促进。</w:t>
      </w:r>
    </w:p>
    <w:p>
      <w:pPr>
        <w:spacing w:line="560" w:lineRule="exact"/>
        <w:ind w:firstLine="320" w:firstLineChars="100"/>
        <w:rPr>
          <w:rFonts w:hint="eastAsia"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    </w:t>
      </w:r>
      <w:r>
        <w:rPr>
          <w:rFonts w:hint="eastAsia" w:ascii="Times New Roman" w:hAnsi="Times New Roman" w:eastAsia="仿宋_GB2312"/>
          <w:color w:val="000000" w:themeColor="text1"/>
          <w:sz w:val="32"/>
          <w:szCs w:val="32"/>
          <w:lang w:eastAsia="zh-CN"/>
          <w14:textFill>
            <w14:solidFill>
              <w14:schemeClr w14:val="tx1"/>
            </w14:solidFill>
          </w14:textFill>
        </w:rPr>
        <w:t>（七）</w:t>
      </w:r>
      <w:r>
        <w:rPr>
          <w:rFonts w:hint="eastAsia" w:ascii="Times New Roman" w:hAnsi="Times New Roman" w:eastAsia="仿宋_GB2312"/>
          <w:color w:val="000000" w:themeColor="text1"/>
          <w:sz w:val="32"/>
          <w:szCs w:val="32"/>
          <w14:textFill>
            <w14:solidFill>
              <w14:schemeClr w14:val="tx1"/>
            </w14:solidFill>
          </w14:textFill>
        </w:rPr>
        <w:t>技术管理与应用研究指导。</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黑体"/>
          <w:color w:val="000000" w:themeColor="text1"/>
          <w:sz w:val="32"/>
          <w:szCs w:val="32"/>
          <w:highlight w:val="none"/>
          <w14:textFill>
            <w14:solidFill>
              <w14:schemeClr w14:val="tx1"/>
            </w14:solidFill>
          </w14:textFill>
        </w:rPr>
      </w:pPr>
      <w:r>
        <w:rPr>
          <w:rFonts w:ascii="Times New Roman" w:hAnsi="Times New Roman" w:eastAsia="黑体"/>
          <w:color w:val="000000" w:themeColor="text1"/>
          <w:sz w:val="32"/>
          <w:szCs w:val="32"/>
          <w:highlight w:val="none"/>
          <w14:textFill>
            <w14:solidFill>
              <w14:schemeClr w14:val="tx1"/>
            </w14:solidFill>
          </w14:textFill>
        </w:rPr>
        <w:t>二、</w:t>
      </w:r>
      <w:r>
        <w:rPr>
          <w:rFonts w:hint="eastAsia" w:ascii="Times New Roman" w:hAnsi="Times New Roman" w:eastAsia="黑体"/>
          <w:color w:val="000000" w:themeColor="text1"/>
          <w:sz w:val="32"/>
          <w:szCs w:val="32"/>
          <w:highlight w:val="none"/>
          <w:u w:val="none"/>
          <w:lang w:eastAsia="zh-CN"/>
          <w14:textFill>
            <w14:solidFill>
              <w14:schemeClr w14:val="tx1"/>
            </w14:solidFill>
          </w14:textFill>
        </w:rPr>
        <w:t>单位</w:t>
      </w:r>
      <w:r>
        <w:rPr>
          <w:rFonts w:ascii="Times New Roman" w:hAnsi="Times New Roman" w:eastAsia="黑体"/>
          <w:color w:val="000000" w:themeColor="text1"/>
          <w:sz w:val="32"/>
          <w:szCs w:val="32"/>
          <w:highlight w:val="none"/>
          <w14:textFill>
            <w14:solidFill>
              <w14:schemeClr w14:val="tx1"/>
            </w14:solidFill>
          </w14:textFill>
        </w:rPr>
        <w:t>预算构成</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color w:val="000000" w:themeColor="text1"/>
          <w:sz w:val="32"/>
          <w:szCs w:val="32"/>
          <w:highlight w:val="none"/>
          <w:u w:val="none"/>
          <w14:textFill>
            <w14:solidFill>
              <w14:schemeClr w14:val="tx1"/>
            </w14:solidFill>
          </w14:textFill>
        </w:rPr>
      </w:pP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疾病预防控制中心</w:t>
      </w:r>
      <w:r>
        <w:rPr>
          <w:rFonts w:ascii="Times New Roman" w:hAnsi="Times New Roman" w:eastAsia="仿宋_GB2312"/>
          <w:color w:val="000000" w:themeColor="text1"/>
          <w:sz w:val="32"/>
          <w:szCs w:val="32"/>
          <w:highlight w:val="none"/>
          <w:u w:val="none"/>
          <w14:textFill>
            <w14:solidFill>
              <w14:schemeClr w14:val="tx1"/>
            </w14:solidFill>
          </w14:textFill>
        </w:rPr>
        <w:t>单位性质为</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事业</w:t>
      </w:r>
      <w:r>
        <w:rPr>
          <w:rFonts w:ascii="Times New Roman" w:hAnsi="Times New Roman" w:eastAsia="仿宋_GB2312"/>
          <w:color w:val="000000" w:themeColor="text1"/>
          <w:sz w:val="32"/>
          <w:szCs w:val="32"/>
          <w:highlight w:val="none"/>
          <w:u w:val="none"/>
          <w14:textFill>
            <w14:solidFill>
              <w14:schemeClr w14:val="tx1"/>
            </w14:solidFill>
          </w14:textFill>
        </w:rPr>
        <w:t>单位。截至</w:t>
      </w:r>
      <w:r>
        <w:rPr>
          <w:rFonts w:hint="eastAsia" w:ascii="Times New Roman" w:hAnsi="Times New Roman" w:eastAsia="仿宋_GB2312"/>
          <w:color w:val="000000" w:themeColor="text1"/>
          <w:spacing w:val="-6"/>
          <w:sz w:val="32"/>
          <w:szCs w:val="32"/>
          <w:highlight w:val="none"/>
          <w:u w:val="none"/>
          <w:lang w:eastAsia="zh-CN"/>
          <w14:textFill>
            <w14:solidFill>
              <w14:schemeClr w14:val="tx1"/>
            </w14:solidFill>
          </w14:textFill>
        </w:rPr>
        <w:t>2022年</w:t>
      </w:r>
      <w:r>
        <w:rPr>
          <w:rFonts w:ascii="Times New Roman" w:hAnsi="Times New Roman" w:eastAsia="仿宋_GB2312"/>
          <w:color w:val="000000" w:themeColor="text1"/>
          <w:spacing w:val="-6"/>
          <w:sz w:val="32"/>
          <w:szCs w:val="32"/>
          <w:highlight w:val="none"/>
          <w:u w:val="none"/>
          <w14:textFill>
            <w14:solidFill>
              <w14:schemeClr w14:val="tx1"/>
            </w14:solidFill>
          </w14:textFill>
        </w:rPr>
        <w:t>12月，</w:t>
      </w:r>
      <w:r>
        <w:rPr>
          <w:rFonts w:hint="eastAsia" w:ascii="Times New Roman" w:hAnsi="Times New Roman" w:eastAsia="仿宋_GB2312"/>
          <w:color w:val="000000" w:themeColor="text1"/>
          <w:spacing w:val="-6"/>
          <w:sz w:val="32"/>
          <w:szCs w:val="32"/>
          <w:highlight w:val="none"/>
          <w:u w:val="none"/>
          <w:lang w:eastAsia="zh-CN"/>
          <w14:textFill>
            <w14:solidFill>
              <w14:schemeClr w14:val="tx1"/>
            </w14:solidFill>
          </w14:textFill>
        </w:rPr>
        <w:t>六安市</w:t>
      </w:r>
      <w:r>
        <w:rPr>
          <w:rFonts w:hint="eastAsia" w:ascii="Times New Roman" w:hAnsi="Times New Roman" w:eastAsia="仿宋_GB2312"/>
          <w:color w:val="000000" w:themeColor="text1"/>
          <w:spacing w:val="-6"/>
          <w:sz w:val="32"/>
          <w:szCs w:val="32"/>
          <w:highlight w:val="none"/>
          <w:u w:val="none"/>
          <w:lang w:val="en-US" w:eastAsia="zh-CN"/>
          <w14:textFill>
            <w14:solidFill>
              <w14:schemeClr w14:val="tx1"/>
            </w14:solidFill>
          </w14:textFill>
        </w:rPr>
        <w:t>疾病预防控制中心</w:t>
      </w:r>
      <w:r>
        <w:rPr>
          <w:rFonts w:ascii="Times New Roman" w:hAnsi="Times New Roman" w:eastAsia="仿宋_GB2312"/>
          <w:color w:val="000000" w:themeColor="text1"/>
          <w:spacing w:val="-6"/>
          <w:sz w:val="32"/>
          <w:szCs w:val="32"/>
          <w:highlight w:val="none"/>
          <w:u w:val="none"/>
          <w14:textFill>
            <w14:solidFill>
              <w14:schemeClr w14:val="tx1"/>
            </w14:solidFill>
          </w14:textFill>
        </w:rPr>
        <w:t>实有各类人员</w:t>
      </w:r>
      <w:r>
        <w:rPr>
          <w:rFonts w:ascii="Times New Roman" w:hAnsi="Times New Roman" w:eastAsia="仿宋_GB2312"/>
          <w:color w:val="000000" w:themeColor="text1"/>
          <w:sz w:val="32"/>
          <w:szCs w:val="32"/>
          <w:highlight w:val="none"/>
          <w:u w:val="none"/>
          <w14:textFill>
            <w14:solidFill>
              <w14:schemeClr w14:val="tx1"/>
            </w14:solidFill>
          </w14:textFill>
        </w:rPr>
        <w:t xml:space="preserve">      </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154</w:t>
      </w:r>
      <w:r>
        <w:rPr>
          <w:rFonts w:ascii="Times New Roman" w:hAnsi="Times New Roman" w:eastAsia="仿宋_GB2312"/>
          <w:color w:val="000000" w:themeColor="text1"/>
          <w:sz w:val="32"/>
          <w:szCs w:val="32"/>
          <w:highlight w:val="none"/>
          <w:u w:val="none"/>
          <w14:textFill>
            <w14:solidFill>
              <w14:schemeClr w14:val="tx1"/>
            </w14:solidFill>
          </w14:textFill>
        </w:rPr>
        <w:t>人，其中在职</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110</w:t>
      </w:r>
      <w:r>
        <w:rPr>
          <w:rFonts w:ascii="Times New Roman" w:hAnsi="Times New Roman" w:eastAsia="仿宋_GB2312"/>
          <w:color w:val="000000" w:themeColor="text1"/>
          <w:sz w:val="32"/>
          <w:szCs w:val="32"/>
          <w:highlight w:val="none"/>
          <w:u w:val="none"/>
          <w14:textFill>
            <w14:solidFill>
              <w14:schemeClr w14:val="tx1"/>
            </w14:solidFill>
          </w14:textFill>
        </w:rPr>
        <w:t>人、离休</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1</w:t>
      </w:r>
      <w:r>
        <w:rPr>
          <w:rFonts w:ascii="Times New Roman" w:hAnsi="Times New Roman" w:eastAsia="仿宋_GB2312"/>
          <w:color w:val="000000" w:themeColor="text1"/>
          <w:sz w:val="32"/>
          <w:szCs w:val="32"/>
          <w:highlight w:val="none"/>
          <w:u w:val="none"/>
          <w14:textFill>
            <w14:solidFill>
              <w14:schemeClr w14:val="tx1"/>
            </w14:solidFill>
          </w14:textFill>
        </w:rPr>
        <w:t>人、退休</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43</w:t>
      </w:r>
      <w:r>
        <w:rPr>
          <w:rFonts w:ascii="Times New Roman" w:hAnsi="Times New Roman" w:eastAsia="仿宋_GB2312"/>
          <w:color w:val="000000" w:themeColor="text1"/>
          <w:sz w:val="32"/>
          <w:szCs w:val="32"/>
          <w:highlight w:val="none"/>
          <w:u w:val="none"/>
          <w14:textFill>
            <w14:solidFill>
              <w14:schemeClr w14:val="tx1"/>
            </w14:solidFill>
          </w14:textFill>
        </w:rPr>
        <w:t>人。</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黑体"/>
          <w:color w:val="000000" w:themeColor="text1"/>
          <w:sz w:val="32"/>
          <w:szCs w:val="32"/>
          <w:highlight w:val="none"/>
          <w14:textFill>
            <w14:solidFill>
              <w14:schemeClr w14:val="tx1"/>
            </w14:solidFill>
          </w14:textFill>
        </w:rPr>
      </w:pPr>
      <w:r>
        <w:rPr>
          <w:rFonts w:ascii="Times New Roman" w:hAnsi="Times New Roman" w:eastAsia="黑体"/>
          <w:color w:val="000000" w:themeColor="text1"/>
          <w:sz w:val="32"/>
          <w:szCs w:val="32"/>
          <w:highlight w:val="none"/>
          <w14:textFill>
            <w14:solidFill>
              <w14:schemeClr w14:val="tx1"/>
            </w14:solidFill>
          </w14:textFill>
        </w:rPr>
        <w:t>三、</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度主要工作任务</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leftChars="0" w:firstLine="640" w:firstLineChars="200"/>
        <w:jc w:val="both"/>
        <w:textAlignment w:val="auto"/>
        <w:rPr>
          <w:rFonts w:ascii="Times New Roman" w:hAnsi="Times New Roman" w:eastAsia="黑体" w:cs="Times New Roman"/>
          <w:bCs/>
          <w:color w:val="000000" w:themeColor="text1"/>
          <w:sz w:val="32"/>
          <w:szCs w:val="32"/>
          <w:highlight w:val="none"/>
          <w14:textFill>
            <w14:solidFill>
              <w14:schemeClr w14:val="tx1"/>
            </w14:solidFill>
          </w14:textFill>
        </w:rPr>
      </w:pPr>
      <w:r>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t>（一）落实省编委《关于进一步加强疾病预防控制机构编制保障工作的通知》（皖编办〔2020〕9号）文件精神，解决多年来人员编制不足的困境；建立人才和能力储备三级梯队机制。</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leftChars="0" w:firstLine="640" w:firstLineChars="200"/>
        <w:jc w:val="both"/>
        <w:textAlignment w:val="auto"/>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t>（二）加快推进疾病预防控制体系改革。完善疾病预防控制机构功能定位，持续推进体系机制创新，逐步建立保障与激励相结合的运行新机制，增强疾控机构的活力，提高疾控机构能力。</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leftChars="0" w:firstLine="640" w:firstLineChars="200"/>
        <w:jc w:val="both"/>
        <w:textAlignment w:val="auto"/>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t>（三）加快基础设施建设。继续加强疾控体系建设，夯实发展基础，加快推进六安市公共卫生应急中心项目建设，力争获批中央预算内投资卫生领域建设项目。</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leftChars="0" w:firstLine="640" w:firstLineChars="200"/>
        <w:jc w:val="both"/>
        <w:textAlignment w:val="auto"/>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t>（四）继续加强重大疾病预防控制。持续推进新型冠状病毒肺炎、发热伴血小板减少综合征的综合防控工作；严控传染病疫情，继续落实遏制艾滋病性病和结核病行动计划；以高血压、糖尿病等为突破口，做好综合防控，强化早期筛查和早诊早治长效机制。</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leftChars="0" w:firstLine="640" w:firstLineChars="200"/>
        <w:jc w:val="both"/>
        <w:textAlignment w:val="auto"/>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u w:val="none"/>
          <w:lang w:val="en-US" w:eastAsia="zh-CN" w:bidi="ar-SA"/>
          <w14:textFill>
            <w14:solidFill>
              <w14:schemeClr w14:val="tx1"/>
            </w14:solidFill>
          </w14:textFill>
        </w:rPr>
        <w:t>（五）持续提高基本公共卫生服务水平。通过建立项目管理协作机制、完善考核制度、强化疾控机构对基层的指导；建立与部门联防联控机制，积极落实学生常见病和健康影响因素监测与干预工作。</w:t>
      </w:r>
    </w:p>
    <w:p>
      <w:pPr>
        <w:pStyle w:val="5"/>
        <w:widowControl w:val="0"/>
        <w:adjustRightInd w:val="0"/>
        <w:snapToGrid w:val="0"/>
        <w:spacing w:before="0" w:beforeAutospacing="0" w:after="0" w:afterAutospacing="0" w:line="560" w:lineRule="exact"/>
        <w:jc w:val="both"/>
        <w:rPr>
          <w:rFonts w:ascii="Times New Roman" w:hAnsi="Times New Roman" w:eastAsia="仿宋_GB2312" w:cs="Times New Roman"/>
          <w:bCs/>
          <w:color w:val="000000" w:themeColor="text1"/>
          <w:sz w:val="32"/>
          <w:szCs w:val="32"/>
          <w:highlight w:val="none"/>
          <w14:textFill>
            <w14:solidFill>
              <w14:schemeClr w14:val="tx1"/>
            </w14:solidFill>
          </w14:textFill>
        </w:rPr>
      </w:pPr>
    </w:p>
    <w:p>
      <w:pPr>
        <w:spacing w:line="560" w:lineRule="exact"/>
        <w:jc w:val="center"/>
        <w:rPr>
          <w:rFonts w:ascii="Times New Roman" w:hAnsi="Times New Roman" w:eastAsia="黑体"/>
          <w:color w:val="000000" w:themeColor="text1"/>
          <w:sz w:val="36"/>
          <w:szCs w:val="36"/>
          <w:highlight w:val="none"/>
          <w14:textFill>
            <w14:solidFill>
              <w14:schemeClr w14:val="tx1"/>
            </w14:solidFill>
          </w14:textFill>
        </w:rPr>
      </w:pPr>
      <w:r>
        <w:rPr>
          <w:rFonts w:ascii="Times New Roman" w:hAnsi="Times New Roman" w:eastAsia="黑体"/>
          <w:color w:val="000000" w:themeColor="text1"/>
          <w:sz w:val="36"/>
          <w:szCs w:val="36"/>
          <w:highlight w:val="none"/>
          <w14:textFill>
            <w14:solidFill>
              <w14:schemeClr w14:val="tx1"/>
            </w14:solidFill>
          </w14:textFill>
        </w:rPr>
        <w:t xml:space="preserve">第二部分  </w:t>
      </w:r>
      <w:r>
        <w:rPr>
          <w:rFonts w:hint="eastAsia" w:ascii="Times New Roman" w:hAnsi="Times New Roman" w:eastAsia="黑体"/>
          <w:color w:val="000000" w:themeColor="text1"/>
          <w:sz w:val="36"/>
          <w:szCs w:val="36"/>
          <w:highlight w:val="none"/>
          <w:lang w:eastAsia="zh-CN"/>
          <w14:textFill>
            <w14:solidFill>
              <w14:schemeClr w14:val="tx1"/>
            </w14:solidFill>
          </w14:textFill>
        </w:rPr>
        <w:t>2023年</w:t>
      </w:r>
      <w:r>
        <w:rPr>
          <w:rFonts w:hint="eastAsia" w:ascii="Times New Roman" w:hAnsi="Times New Roman" w:eastAsia="黑体"/>
          <w:color w:val="000000" w:themeColor="text1"/>
          <w:sz w:val="36"/>
          <w:szCs w:val="36"/>
          <w:highlight w:val="none"/>
          <w:u w:val="none"/>
          <w:lang w:eastAsia="zh-CN"/>
          <w14:textFill>
            <w14:solidFill>
              <w14:schemeClr w14:val="tx1"/>
            </w14:solidFill>
          </w14:textFill>
        </w:rPr>
        <w:t>单位</w:t>
      </w:r>
      <w:r>
        <w:rPr>
          <w:rFonts w:ascii="Times New Roman" w:hAnsi="Times New Roman" w:eastAsia="黑体"/>
          <w:color w:val="000000" w:themeColor="text1"/>
          <w:sz w:val="36"/>
          <w:szCs w:val="36"/>
          <w:highlight w:val="none"/>
          <w14:textFill>
            <w14:solidFill>
              <w14:schemeClr w14:val="tx1"/>
            </w14:solidFill>
          </w14:textFill>
        </w:rPr>
        <w:t>预算表</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预算表由以下1</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张表格构成，具体表格内容见</w:t>
      </w:r>
      <w:r>
        <w:rPr>
          <w:rFonts w:hint="eastAsia" w:ascii="Times New Roman" w:hAnsi="Times New Roman" w:eastAsia="仿宋_GB2312"/>
          <w:color w:val="000000" w:themeColor="text1"/>
          <w:sz w:val="32"/>
          <w:szCs w:val="32"/>
          <w:highlight w:val="none"/>
          <w14:textFill>
            <w14:solidFill>
              <w14:schemeClr w14:val="tx1"/>
            </w14:solidFill>
          </w14:textFill>
        </w:rPr>
        <w:t>附件</w:t>
      </w:r>
      <w:r>
        <w:rPr>
          <w:rFonts w:ascii="Times New Roman" w:hAnsi="Times New Roman" w:eastAsia="仿宋_GB2312"/>
          <w:color w:val="000000" w:themeColor="text1"/>
          <w:sz w:val="32"/>
          <w:szCs w:val="32"/>
          <w:highlight w:val="none"/>
          <w14:textFill>
            <w14:solidFill>
              <w14:schemeClr w14:val="tx1"/>
            </w14:solidFill>
          </w14:textFill>
        </w:rPr>
        <w:t>。</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收支总表（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1）</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2.</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收入总表（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2）</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3.</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支出总表（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3）</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4.</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财政拨款收支总表（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4）</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5.</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一般公共预算支出表（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5）</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6.</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一般公共预算基本支出表（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6）</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7.</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政府性基金预算支出表（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7）</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8.</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国有资本经营预算支出表（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8）</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9.</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基本支出总表（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9）</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10.</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项目</w:t>
      </w:r>
      <w:r>
        <w:rPr>
          <w:rFonts w:ascii="Times New Roman" w:hAnsi="Times New Roman" w:eastAsia="仿宋_GB2312"/>
          <w:color w:val="000000" w:themeColor="text1"/>
          <w:sz w:val="32"/>
          <w:szCs w:val="32"/>
          <w:highlight w:val="none"/>
          <w14:textFill>
            <w14:solidFill>
              <w14:schemeClr w14:val="tx1"/>
            </w14:solidFill>
          </w14:textFill>
        </w:rPr>
        <w:t>支出总表（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10）</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11.</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政府采购支出表（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11）</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12.</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政府购买服务支出表（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12）</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“三公”经费支出预算表（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ascii="Times New Roman" w:hAnsi="Times New Roman" w:eastAsia="仿宋_GB2312"/>
          <w:color w:val="000000" w:themeColor="text1"/>
          <w:sz w:val="32"/>
          <w:szCs w:val="32"/>
          <w:highlight w:val="none"/>
          <w14:textFill>
            <w14:solidFill>
              <w14:schemeClr w14:val="tx1"/>
            </w14:solidFill>
          </w14:textFill>
        </w:rPr>
        <w:t>）</w:t>
      </w:r>
    </w:p>
    <w:p>
      <w:pPr>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项目支出绩效目标表（</w:t>
      </w:r>
      <w:r>
        <w:rPr>
          <w:rFonts w:hint="eastAsia" w:ascii="Times New Roman" w:hAnsi="Times New Roman" w:eastAsia="仿宋_GB2312"/>
          <w:color w:val="000000" w:themeColor="text1"/>
          <w:sz w:val="32"/>
          <w:szCs w:val="32"/>
          <w:highlight w:val="none"/>
          <w14:textFill>
            <w14:solidFill>
              <w14:schemeClr w14:val="tx1"/>
            </w14:solidFill>
          </w14:textFill>
        </w:rPr>
        <w:t>附件表</w:t>
      </w: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w:t>
      </w:r>
    </w:p>
    <w:p>
      <w:pPr>
        <w:spacing w:line="560" w:lineRule="exact"/>
        <w:jc w:val="center"/>
        <w:rPr>
          <w:rFonts w:ascii="Times New Roman" w:hAnsi="Times New Roman" w:eastAsia="黑体"/>
          <w:color w:val="000000" w:themeColor="text1"/>
          <w:sz w:val="36"/>
          <w:szCs w:val="36"/>
          <w:highlight w:val="none"/>
          <w14:textFill>
            <w14:solidFill>
              <w14:schemeClr w14:val="tx1"/>
            </w14:solidFill>
          </w14:textFill>
        </w:rPr>
      </w:pPr>
    </w:p>
    <w:p>
      <w:pPr>
        <w:numPr>
          <w:ilvl w:val="0"/>
          <w:numId w:val="1"/>
        </w:numPr>
        <w:spacing w:line="560" w:lineRule="exact"/>
        <w:jc w:val="center"/>
        <w:rPr>
          <w:rFonts w:ascii="Times New Roman" w:hAnsi="Times New Roman" w:eastAsia="黑体"/>
          <w:color w:val="000000" w:themeColor="text1"/>
          <w:sz w:val="36"/>
          <w:szCs w:val="36"/>
          <w:highlight w:val="none"/>
          <w14:textFill>
            <w14:solidFill>
              <w14:schemeClr w14:val="tx1"/>
            </w14:solidFill>
          </w14:textFill>
        </w:rPr>
      </w:pPr>
      <w:r>
        <w:rPr>
          <w:rFonts w:ascii="Times New Roman" w:hAnsi="Times New Roman" w:eastAsia="黑体"/>
          <w:color w:val="000000" w:themeColor="text1"/>
          <w:sz w:val="36"/>
          <w:szCs w:val="36"/>
          <w:highlight w:val="none"/>
          <w14:textFill>
            <w14:solidFill>
              <w14:schemeClr w14:val="tx1"/>
            </w14:solidFill>
          </w14:textFill>
        </w:rPr>
        <w:t xml:space="preserve"> </w:t>
      </w:r>
      <w:r>
        <w:rPr>
          <w:rFonts w:hint="eastAsia" w:ascii="Times New Roman" w:hAnsi="Times New Roman" w:eastAsia="黑体"/>
          <w:color w:val="000000" w:themeColor="text1"/>
          <w:sz w:val="36"/>
          <w:szCs w:val="36"/>
          <w:highlight w:val="none"/>
          <w:lang w:eastAsia="zh-CN"/>
          <w14:textFill>
            <w14:solidFill>
              <w14:schemeClr w14:val="tx1"/>
            </w14:solidFill>
          </w14:textFill>
        </w:rPr>
        <w:t>2023年</w:t>
      </w:r>
      <w:r>
        <w:rPr>
          <w:rFonts w:hint="eastAsia" w:ascii="Times New Roman" w:hAnsi="Times New Roman" w:eastAsia="黑体"/>
          <w:color w:val="000000" w:themeColor="text1"/>
          <w:sz w:val="36"/>
          <w:szCs w:val="36"/>
          <w:highlight w:val="none"/>
          <w:u w:val="none"/>
          <w:lang w:eastAsia="zh-CN"/>
          <w14:textFill>
            <w14:solidFill>
              <w14:schemeClr w14:val="tx1"/>
            </w14:solidFill>
          </w14:textFill>
        </w:rPr>
        <w:t>单位</w:t>
      </w:r>
      <w:r>
        <w:rPr>
          <w:rFonts w:ascii="Times New Roman" w:hAnsi="Times New Roman" w:eastAsia="黑体"/>
          <w:color w:val="000000" w:themeColor="text1"/>
          <w:sz w:val="36"/>
          <w:szCs w:val="36"/>
          <w:highlight w:val="none"/>
          <w14:textFill>
            <w14:solidFill>
              <w14:schemeClr w14:val="tx1"/>
            </w14:solidFill>
          </w14:textFill>
        </w:rPr>
        <w:t>预算情况说明</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一</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收支</w:t>
      </w:r>
      <w:r>
        <w:rPr>
          <w:rFonts w:hint="eastAsia" w:ascii="Times New Roman" w:hAnsi="Times New Roman" w:eastAsia="黑体"/>
          <w:color w:val="000000" w:themeColor="text1"/>
          <w:sz w:val="32"/>
          <w:szCs w:val="32"/>
          <w:highlight w:val="none"/>
          <w:lang w:eastAsia="zh-CN"/>
          <w14:textFill>
            <w14:solidFill>
              <w14:schemeClr w14:val="tx1"/>
            </w14:solidFill>
          </w14:textFill>
        </w:rPr>
        <w:t>总表的</w:t>
      </w:r>
      <w:r>
        <w:rPr>
          <w:rFonts w:ascii="Times New Roman" w:hAnsi="Times New Roman" w:eastAsia="黑体"/>
          <w:color w:val="000000" w:themeColor="text1"/>
          <w:sz w:val="32"/>
          <w:szCs w:val="32"/>
          <w:highlight w:val="none"/>
          <w14:textFill>
            <w14:solidFill>
              <w14:schemeClr w14:val="tx1"/>
            </w14:solidFill>
          </w14:textFill>
        </w:rPr>
        <w:t>说明</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按照综合预算</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的</w:t>
      </w:r>
      <w:r>
        <w:rPr>
          <w:rFonts w:ascii="Times New Roman" w:hAnsi="Times New Roman" w:eastAsia="仿宋_GB2312"/>
          <w:color w:val="000000" w:themeColor="text1"/>
          <w:sz w:val="32"/>
          <w:szCs w:val="32"/>
          <w:highlight w:val="none"/>
          <w14:textFill>
            <w14:solidFill>
              <w14:schemeClr w14:val="tx1"/>
            </w14:solidFill>
          </w14:textFill>
        </w:rPr>
        <w:t>原则，</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ascii="Times New Roman" w:hAnsi="Times New Roman" w:eastAsia="仿宋_GB2312"/>
          <w:color w:val="000000" w:themeColor="text1"/>
          <w:sz w:val="32"/>
          <w:szCs w:val="32"/>
          <w:highlight w:val="none"/>
          <w14:textFill>
            <w14:solidFill>
              <w14:schemeClr w14:val="tx1"/>
            </w14:solidFill>
          </w14:textFill>
        </w:rPr>
        <w:t>所有收入和支出均纳入</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单位</w:t>
      </w:r>
      <w:r>
        <w:rPr>
          <w:rFonts w:ascii="Times New Roman" w:hAnsi="Times New Roman" w:eastAsia="仿宋_GB2312"/>
          <w:color w:val="000000" w:themeColor="text1"/>
          <w:sz w:val="32"/>
          <w:szCs w:val="32"/>
          <w:highlight w:val="none"/>
          <w14:textFill>
            <w14:solidFill>
              <w14:schemeClr w14:val="tx1"/>
            </w14:solidFill>
          </w14:textFill>
        </w:rPr>
        <w:t>预算管理。</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收支总预算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olor w:val="000000" w:themeColor="text1"/>
          <w:sz w:val="32"/>
          <w:szCs w:val="32"/>
          <w:highlight w:val="none"/>
          <w14:textFill>
            <w14:solidFill>
              <w14:schemeClr w14:val="tx1"/>
            </w14:solidFill>
          </w14:textFill>
        </w:rPr>
        <w:t>万元，收入</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全部是</w:t>
      </w:r>
      <w:r>
        <w:rPr>
          <w:rFonts w:ascii="Times New Roman" w:hAnsi="Times New Roman" w:eastAsia="仿宋_GB2312"/>
          <w:color w:val="000000" w:themeColor="text1"/>
          <w:sz w:val="32"/>
          <w:szCs w:val="32"/>
          <w:highlight w:val="none"/>
          <w14:textFill>
            <w14:solidFill>
              <w14:schemeClr w14:val="tx1"/>
            </w14:solidFill>
          </w14:textFill>
        </w:rPr>
        <w:t>一般公共预算拨款收入，支出包括社会保障和就业支出、卫生健康支出、住房保障支出、</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债务付息支出</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二</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收入</w:t>
      </w:r>
      <w:r>
        <w:rPr>
          <w:rFonts w:hint="eastAsia" w:ascii="Times New Roman" w:hAnsi="Times New Roman" w:eastAsia="黑体"/>
          <w:color w:val="000000" w:themeColor="text1"/>
          <w:sz w:val="32"/>
          <w:szCs w:val="32"/>
          <w:highlight w:val="none"/>
          <w:lang w:eastAsia="zh-CN"/>
          <w14:textFill>
            <w14:solidFill>
              <w14:schemeClr w14:val="tx1"/>
            </w14:solidFill>
          </w14:textFill>
        </w:rPr>
        <w:t>总表的</w:t>
      </w:r>
      <w:r>
        <w:rPr>
          <w:rFonts w:ascii="Times New Roman" w:hAnsi="Times New Roman" w:eastAsia="黑体"/>
          <w:color w:val="000000" w:themeColor="text1"/>
          <w:sz w:val="32"/>
          <w:szCs w:val="32"/>
          <w:highlight w:val="none"/>
          <w14:textFill>
            <w14:solidFill>
              <w14:schemeClr w14:val="tx1"/>
            </w14:solidFill>
          </w14:textFill>
        </w:rPr>
        <w:t>说明</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收入预算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收入全部是</w:t>
      </w:r>
      <w:r>
        <w:rPr>
          <w:rFonts w:ascii="Times New Roman" w:hAnsi="Times New Roman" w:eastAsia="仿宋_GB2312"/>
          <w:color w:val="000000" w:themeColor="text1"/>
          <w:sz w:val="32"/>
          <w:szCs w:val="32"/>
          <w:highlight w:val="none"/>
          <w14:textFill>
            <w14:solidFill>
              <w14:schemeClr w14:val="tx1"/>
            </w14:solidFill>
          </w14:textFill>
        </w:rPr>
        <w:t>一般公共预算拨款收入</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预算减少</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91.23</w:t>
      </w:r>
      <w:r>
        <w:rPr>
          <w:rFonts w:ascii="Times New Roman" w:hAnsi="Times New Roman" w:eastAsia="仿宋_GB2312"/>
          <w:color w:val="000000" w:themeColor="text1"/>
          <w:sz w:val="32"/>
          <w:szCs w:val="32"/>
          <w:highlight w:val="none"/>
          <w14:textFill>
            <w14:solidFill>
              <w14:schemeClr w14:val="tx1"/>
            </w14:solidFill>
          </w14:textFill>
        </w:rPr>
        <w:t>万元，下降</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5.35</w:t>
      </w:r>
      <w:r>
        <w:rPr>
          <w:rFonts w:ascii="Times New Roman" w:hAnsi="Times New Roman" w:eastAsia="仿宋_GB2312"/>
          <w:color w:val="000000" w:themeColor="text1"/>
          <w:sz w:val="32"/>
          <w:szCs w:val="32"/>
          <w:highlight w:val="none"/>
          <w14:textFill>
            <w14:solidFill>
              <w14:schemeClr w14:val="tx1"/>
            </w14:solidFill>
          </w14:textFill>
        </w:rPr>
        <w:t>%，下降原因主要是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项目预算和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财政拨款结转结余</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预算减少</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三</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支出</w:t>
      </w:r>
      <w:r>
        <w:rPr>
          <w:rFonts w:hint="eastAsia" w:ascii="Times New Roman" w:hAnsi="Times New Roman" w:eastAsia="黑体"/>
          <w:color w:val="000000" w:themeColor="text1"/>
          <w:sz w:val="32"/>
          <w:szCs w:val="32"/>
          <w:highlight w:val="none"/>
          <w:lang w:eastAsia="zh-CN"/>
          <w14:textFill>
            <w14:solidFill>
              <w14:schemeClr w14:val="tx1"/>
            </w14:solidFill>
          </w14:textFill>
        </w:rPr>
        <w:t>总表的</w:t>
      </w:r>
      <w:r>
        <w:rPr>
          <w:rFonts w:ascii="Times New Roman" w:hAnsi="Times New Roman" w:eastAsia="黑体"/>
          <w:color w:val="000000" w:themeColor="text1"/>
          <w:sz w:val="32"/>
          <w:szCs w:val="32"/>
          <w:highlight w:val="none"/>
          <w14:textFill>
            <w14:solidFill>
              <w14:schemeClr w14:val="tx1"/>
            </w14:solidFill>
          </w14:textFill>
        </w:rPr>
        <w:t>说明</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支出预算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预算减少</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91.23</w:t>
      </w:r>
      <w:r>
        <w:rPr>
          <w:rFonts w:ascii="Times New Roman" w:hAnsi="Times New Roman" w:eastAsia="仿宋_GB2312"/>
          <w:color w:val="000000" w:themeColor="text1"/>
          <w:sz w:val="32"/>
          <w:szCs w:val="32"/>
          <w:highlight w:val="none"/>
          <w14:textFill>
            <w14:solidFill>
              <w14:schemeClr w14:val="tx1"/>
            </w14:solidFill>
          </w14:textFill>
        </w:rPr>
        <w:t>万元，下降</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5.35</w:t>
      </w:r>
      <w:r>
        <w:rPr>
          <w:rFonts w:ascii="Times New Roman" w:hAnsi="Times New Roman" w:eastAsia="仿宋_GB2312"/>
          <w:color w:val="000000" w:themeColor="text1"/>
          <w:sz w:val="32"/>
          <w:szCs w:val="32"/>
          <w:highlight w:val="none"/>
          <w14:textFill>
            <w14:solidFill>
              <w14:schemeClr w14:val="tx1"/>
            </w14:solidFill>
          </w14:textFill>
        </w:rPr>
        <w:t>%，下降原因主要是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项目预算和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财政拨款结转结余</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预算减少</w:t>
      </w:r>
      <w:r>
        <w:rPr>
          <w:rFonts w:ascii="Times New Roman" w:hAnsi="Times New Roman" w:eastAsia="仿宋_GB2312"/>
          <w:color w:val="000000" w:themeColor="text1"/>
          <w:sz w:val="32"/>
          <w:szCs w:val="32"/>
          <w:highlight w:val="none"/>
          <w14:textFill>
            <w14:solidFill>
              <w14:schemeClr w14:val="tx1"/>
            </w14:solidFill>
          </w14:textFill>
        </w:rPr>
        <w:t>。其中，基本支出</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1435.2</w:t>
      </w:r>
      <w:r>
        <w:rPr>
          <w:rFonts w:ascii="Times New Roman" w:hAnsi="Times New Roman" w:eastAsia="仿宋_GB2312"/>
          <w:color w:val="000000" w:themeColor="text1"/>
          <w:sz w:val="32"/>
          <w:szCs w:val="32"/>
          <w:highlight w:val="none"/>
          <w14:textFill>
            <w14:solidFill>
              <w14:schemeClr w14:val="tx1"/>
            </w14:solidFill>
          </w14:textFill>
        </w:rPr>
        <w:t>万元，占</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88.93</w:t>
      </w:r>
      <w:r>
        <w:rPr>
          <w:rFonts w:ascii="Times New Roman" w:hAnsi="Times New Roman" w:eastAsia="仿宋_GB2312"/>
          <w:color w:val="000000" w:themeColor="text1"/>
          <w:sz w:val="32"/>
          <w:szCs w:val="32"/>
          <w:highlight w:val="none"/>
          <w14:textFill>
            <w14:solidFill>
              <w14:schemeClr w14:val="tx1"/>
            </w14:solidFill>
          </w14:textFill>
        </w:rPr>
        <w:t>%，主要用于保障机构日常运转、完成日常工作任务等；项目支出</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178.62</w:t>
      </w:r>
      <w:r>
        <w:rPr>
          <w:rFonts w:ascii="Times New Roman" w:hAnsi="Times New Roman" w:eastAsia="仿宋_GB2312"/>
          <w:color w:val="000000" w:themeColor="text1"/>
          <w:sz w:val="32"/>
          <w:szCs w:val="32"/>
          <w:highlight w:val="none"/>
          <w14:textFill>
            <w14:solidFill>
              <w14:schemeClr w14:val="tx1"/>
            </w14:solidFill>
          </w14:textFill>
        </w:rPr>
        <w:t>万元，占</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11.07</w:t>
      </w:r>
      <w:r>
        <w:rPr>
          <w:rFonts w:ascii="Times New Roman" w:hAnsi="Times New Roman" w:eastAsia="仿宋_GB2312"/>
          <w:color w:val="000000" w:themeColor="text1"/>
          <w:sz w:val="32"/>
          <w:szCs w:val="32"/>
          <w:highlight w:val="none"/>
          <w14:textFill>
            <w14:solidFill>
              <w14:schemeClr w14:val="tx1"/>
            </w14:solidFill>
          </w14:textFill>
        </w:rPr>
        <w:t>%，主要用于</w:t>
      </w:r>
      <w:r>
        <w:rPr>
          <w:rFonts w:hint="eastAsia" w:ascii="Times New Roman" w:hAnsi="Times New Roman" w:eastAsia="仿宋_GB2312"/>
          <w:color w:val="000000" w:themeColor="text1"/>
          <w:sz w:val="32"/>
          <w:szCs w:val="32"/>
          <w14:textFill>
            <w14:solidFill>
              <w14:schemeClr w14:val="tx1"/>
            </w14:solidFill>
          </w14:textFill>
        </w:rPr>
        <w:t>特定的工作任务</w:t>
      </w:r>
      <w:r>
        <w:rPr>
          <w:rFonts w:hint="eastAsia" w:ascii="Times New Roman" w:hAnsi="Times New Roman" w:eastAsia="仿宋_GB2312"/>
          <w:color w:val="000000" w:themeColor="text1"/>
          <w:sz w:val="32"/>
          <w:szCs w:val="32"/>
          <w:lang w:eastAsia="zh-CN"/>
          <w14:textFill>
            <w14:solidFill>
              <w14:schemeClr w14:val="tx1"/>
            </w14:solidFill>
          </w14:textFill>
        </w:rPr>
        <w:t>如疾病专项业务支</w:t>
      </w:r>
      <w:r>
        <w:rPr>
          <w:rFonts w:hint="eastAsia" w:ascii="Times New Roman" w:hAnsi="Times New Roman" w:eastAsia="仿宋_GB2312"/>
          <w:color w:val="000000" w:themeColor="text1"/>
          <w:sz w:val="32"/>
          <w:szCs w:val="32"/>
          <w:lang w:val="en-US" w:eastAsia="zh-CN"/>
          <w14:textFill>
            <w14:solidFill>
              <w14:schemeClr w14:val="tx1"/>
            </w14:solidFill>
          </w14:textFill>
        </w:rPr>
        <w:t>出、卫生应急项目支出、日元贷款项目支出</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四</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财政拨款收支</w:t>
      </w:r>
      <w:r>
        <w:rPr>
          <w:rFonts w:hint="eastAsia" w:ascii="Times New Roman" w:hAnsi="Times New Roman" w:eastAsia="黑体"/>
          <w:color w:val="000000" w:themeColor="text1"/>
          <w:sz w:val="32"/>
          <w:szCs w:val="32"/>
          <w:highlight w:val="none"/>
          <w:lang w:eastAsia="zh-CN"/>
          <w14:textFill>
            <w14:solidFill>
              <w14:schemeClr w14:val="tx1"/>
            </w14:solidFill>
          </w14:textFill>
        </w:rPr>
        <w:t>总表的</w:t>
      </w:r>
      <w:r>
        <w:rPr>
          <w:rFonts w:ascii="Times New Roman" w:hAnsi="Times New Roman" w:eastAsia="黑体"/>
          <w:color w:val="000000" w:themeColor="text1"/>
          <w:sz w:val="32"/>
          <w:szCs w:val="32"/>
          <w:highlight w:val="none"/>
          <w14:textFill>
            <w14:solidFill>
              <w14:schemeClr w14:val="tx1"/>
            </w14:solidFill>
          </w14:textFill>
        </w:rPr>
        <w:t>说明</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财政拨款收支预算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olor w:val="000000" w:themeColor="text1"/>
          <w:sz w:val="32"/>
          <w:szCs w:val="32"/>
          <w:highlight w:val="none"/>
          <w14:textFill>
            <w14:solidFill>
              <w14:schemeClr w14:val="tx1"/>
            </w14:solidFill>
          </w14:textFill>
        </w:rPr>
        <w:t>万元。收入按资金来源分</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全部</w:t>
      </w:r>
      <w:r>
        <w:rPr>
          <w:rFonts w:ascii="Times New Roman" w:hAnsi="Times New Roman" w:eastAsia="仿宋_GB2312"/>
          <w:color w:val="000000" w:themeColor="text1"/>
          <w:sz w:val="32"/>
          <w:szCs w:val="32"/>
          <w:highlight w:val="none"/>
          <w14:textFill>
            <w14:solidFill>
              <w14:schemeClr w14:val="tx1"/>
            </w14:solidFill>
          </w14:textFill>
        </w:rPr>
        <w:t>为一般公共预算拨款</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olor w:val="000000" w:themeColor="text1"/>
          <w:sz w:val="32"/>
          <w:szCs w:val="32"/>
          <w:highlight w:val="none"/>
          <w14:textFill>
            <w14:solidFill>
              <w14:schemeClr w14:val="tx1"/>
            </w14:solidFill>
          </w14:textFill>
        </w:rPr>
        <w:t>万元；按资金年度分</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全部</w:t>
      </w:r>
      <w:r>
        <w:rPr>
          <w:rFonts w:ascii="Times New Roman" w:hAnsi="Times New Roman" w:eastAsia="仿宋_GB2312"/>
          <w:color w:val="000000" w:themeColor="text1"/>
          <w:sz w:val="32"/>
          <w:szCs w:val="32"/>
          <w:highlight w:val="none"/>
          <w14:textFill>
            <w14:solidFill>
              <w14:schemeClr w14:val="tx1"/>
            </w14:solidFill>
          </w14:textFill>
        </w:rPr>
        <w:t>为当年财政拨款收入</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olor w:val="000000" w:themeColor="text1"/>
          <w:sz w:val="32"/>
          <w:szCs w:val="32"/>
          <w:highlight w:val="none"/>
          <w14:textFill>
            <w14:solidFill>
              <w14:schemeClr w14:val="tx1"/>
            </w14:solidFill>
          </w14:textFill>
        </w:rPr>
        <w:t>万元。</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ascii="Times New Roman" w:hAnsi="Times New Roman" w:eastAsia="楷体" w:cs="Times New Roman"/>
          <w:color w:val="FF0000"/>
          <w:kern w:val="2"/>
          <w:sz w:val="32"/>
          <w:szCs w:val="32"/>
          <w:highlight w:val="none"/>
        </w:rPr>
      </w:pPr>
      <w:r>
        <w:rPr>
          <w:rFonts w:ascii="Times New Roman" w:hAnsi="Times New Roman" w:eastAsia="仿宋_GB2312" w:cs="Times New Roman"/>
          <w:color w:val="000000" w:themeColor="text1"/>
          <w:kern w:val="2"/>
          <w:sz w:val="32"/>
          <w:szCs w:val="32"/>
          <w:highlight w:val="none"/>
          <w14:textFill>
            <w14:solidFill>
              <w14:schemeClr w14:val="tx1"/>
            </w14:solidFill>
          </w14:textFill>
        </w:rPr>
        <w:t>支出按功能分类分为：社会保障和就业支出</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105.42</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6.53</w:t>
      </w:r>
      <w:r>
        <w:rPr>
          <w:rFonts w:ascii="Times New Roman" w:hAnsi="Times New Roman" w:eastAsia="仿宋_GB2312" w:cs="Times New Roman"/>
          <w:color w:val="000000" w:themeColor="text1"/>
          <w:kern w:val="2"/>
          <w:sz w:val="32"/>
          <w:szCs w:val="32"/>
          <w:highlight w:val="none"/>
          <w14:textFill>
            <w14:solidFill>
              <w14:schemeClr w14:val="tx1"/>
            </w14:solidFill>
          </w14:textFill>
        </w:rPr>
        <w:t>%；卫生健康支出</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1425.33</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88.32</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%；住房保障支出</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79.06</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4.9</w:t>
      </w:r>
      <w:r>
        <w:rPr>
          <w:rFonts w:ascii="Times New Roman" w:hAnsi="Times New Roman" w:eastAsia="仿宋_GB2312" w:cs="Times New Roman"/>
          <w:color w:val="000000" w:themeColor="text1"/>
          <w:kern w:val="2"/>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债务付息支出4万元，</w:t>
      </w:r>
      <w:r>
        <w:rPr>
          <w:rFonts w:ascii="Times New Roman" w:hAnsi="Times New Roman" w:eastAsia="仿宋_GB2312" w:cs="Times New Roman"/>
          <w:color w:val="000000" w:themeColor="text1"/>
          <w:kern w:val="2"/>
          <w:sz w:val="32"/>
          <w:szCs w:val="32"/>
          <w:highlight w:val="none"/>
          <w14:textFill>
            <w14:solidFill>
              <w14:schemeClr w14:val="tx1"/>
            </w14:solidFill>
          </w14:textFill>
        </w:rPr>
        <w:t>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0.25</w:t>
      </w:r>
      <w:r>
        <w:rPr>
          <w:rFonts w:ascii="Times New Roman" w:hAnsi="Times New Roman" w:eastAsia="仿宋_GB2312" w:cs="Times New Roman"/>
          <w:color w:val="000000" w:themeColor="text1"/>
          <w:kern w:val="2"/>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2022年</w:t>
      </w:r>
      <w:r>
        <w:rPr>
          <w:rFonts w:ascii="Times New Roman" w:hAnsi="Times New Roman" w:eastAsia="仿宋_GB2312"/>
          <w:color w:val="000000" w:themeColor="text1"/>
          <w:sz w:val="32"/>
          <w:szCs w:val="32"/>
          <w:highlight w:val="none"/>
          <w14:textFill>
            <w14:solidFill>
              <w14:schemeClr w14:val="tx1"/>
            </w14:solidFill>
          </w14:textFill>
        </w:rPr>
        <w:t>预算相比，收、支总计各减少</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91.23</w:t>
      </w:r>
      <w:r>
        <w:rPr>
          <w:rFonts w:ascii="Times New Roman" w:hAnsi="Times New Roman" w:eastAsia="仿宋_GB2312"/>
          <w:color w:val="000000" w:themeColor="text1"/>
          <w:sz w:val="32"/>
          <w:szCs w:val="32"/>
          <w:highlight w:val="none"/>
          <w14:textFill>
            <w14:solidFill>
              <w14:schemeClr w14:val="tx1"/>
            </w14:solidFill>
          </w14:textFill>
        </w:rPr>
        <w:t>万元，下降</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5.35</w:t>
      </w:r>
      <w:r>
        <w:rPr>
          <w:rFonts w:ascii="Times New Roman" w:hAnsi="Times New Roman" w:eastAsia="仿宋_GB2312"/>
          <w:color w:val="000000" w:themeColor="text1"/>
          <w:sz w:val="32"/>
          <w:szCs w:val="32"/>
          <w:highlight w:val="none"/>
          <w14:textFill>
            <w14:solidFill>
              <w14:schemeClr w14:val="tx1"/>
            </w14:solidFill>
          </w14:textFill>
        </w:rPr>
        <w:t xml:space="preserve"> %。主要原因：一是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项目预算减少</w:t>
      </w:r>
      <w:r>
        <w:rPr>
          <w:rFonts w:ascii="Times New Roman" w:hAnsi="Times New Roman" w:eastAsia="仿宋_GB2312"/>
          <w:color w:val="000000" w:themeColor="text1"/>
          <w:sz w:val="32"/>
          <w:szCs w:val="32"/>
          <w:highlight w:val="none"/>
          <w14:textFill>
            <w14:solidFill>
              <w14:schemeClr w14:val="tx1"/>
            </w14:solidFill>
          </w14:textFill>
        </w:rPr>
        <w:t>；二是</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财政拨款结转结余</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预算减少</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五</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一般公共预算</w:t>
      </w:r>
      <w:r>
        <w:rPr>
          <w:rFonts w:hint="eastAsia" w:ascii="Times New Roman" w:hAnsi="Times New Roman" w:eastAsia="黑体"/>
          <w:color w:val="000000" w:themeColor="text1"/>
          <w:sz w:val="32"/>
          <w:szCs w:val="32"/>
          <w:highlight w:val="none"/>
          <w:lang w:eastAsia="zh-CN"/>
          <w14:textFill>
            <w14:solidFill>
              <w14:schemeClr w14:val="tx1"/>
            </w14:solidFill>
          </w14:textFill>
        </w:rPr>
        <w:t>支出表的</w:t>
      </w:r>
      <w:r>
        <w:rPr>
          <w:rFonts w:ascii="Times New Roman" w:hAnsi="Times New Roman" w:eastAsia="黑体"/>
          <w:color w:val="000000" w:themeColor="text1"/>
          <w:sz w:val="32"/>
          <w:szCs w:val="32"/>
          <w:highlight w:val="none"/>
          <w14:textFill>
            <w14:solidFill>
              <w14:schemeClr w14:val="tx1"/>
            </w14:solidFill>
          </w14:textFill>
        </w:rPr>
        <w:t>说明</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（一）一般公共预算拨款规模变化情况。</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s="Times New Roman"/>
          <w:color w:val="000000" w:themeColor="text1"/>
          <w:kern w:val="2"/>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s="Times New Roman"/>
          <w:color w:val="000000" w:themeColor="text1"/>
          <w:kern w:val="2"/>
          <w:sz w:val="32"/>
          <w:szCs w:val="32"/>
          <w:highlight w:val="none"/>
          <w:lang w:eastAsia="zh-CN"/>
          <w14:textFill>
            <w14:solidFill>
              <w14:schemeClr w14:val="tx1"/>
            </w14:solidFill>
          </w14:textFill>
        </w:rPr>
        <w:t>2023年</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一般公共预算拨款</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1613.82</w:t>
      </w:r>
      <w:r>
        <w:rPr>
          <w:rFonts w:ascii="Times New Roman" w:hAnsi="Times New Roman" w:eastAsia="仿宋_GB2312" w:cs="Times New Roman"/>
          <w:color w:val="000000" w:themeColor="text1"/>
          <w:sz w:val="32"/>
          <w:szCs w:val="32"/>
          <w:highlight w:val="none"/>
          <w14:textFill>
            <w14:solidFill>
              <w14:schemeClr w14:val="tx1"/>
            </w14:solidFill>
          </w14:textFill>
        </w:rPr>
        <w:t>万元</w:t>
      </w:r>
      <w:r>
        <w:rPr>
          <w:rFonts w:ascii="Times New Roman" w:hAnsi="Times New Roman" w:eastAsia="仿宋_GB2312" w:cs="Times New Roman"/>
          <w:color w:val="000000" w:themeColor="text1"/>
          <w:kern w:val="2"/>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kern w:val="2"/>
          <w:sz w:val="32"/>
          <w:szCs w:val="32"/>
          <w:highlight w:val="none"/>
          <w:lang w:eastAsia="zh-CN"/>
          <w14:textFill>
            <w14:solidFill>
              <w14:schemeClr w14:val="tx1"/>
            </w14:solidFill>
          </w14:textFill>
        </w:rPr>
        <w:t>较2022年</w:t>
      </w:r>
      <w:r>
        <w:rPr>
          <w:rFonts w:ascii="Times New Roman" w:hAnsi="Times New Roman" w:eastAsia="仿宋_GB2312" w:cs="Times New Roman"/>
          <w:color w:val="000000" w:themeColor="text1"/>
          <w:kern w:val="2"/>
          <w:sz w:val="32"/>
          <w:szCs w:val="32"/>
          <w:highlight w:val="none"/>
          <w14:textFill>
            <w14:solidFill>
              <w14:schemeClr w14:val="tx1"/>
            </w14:solidFill>
          </w14:textFill>
        </w:rPr>
        <w:t>预算拨款减少</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91.23</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万元，下降</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5.35</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%，主要原因：</w:t>
      </w:r>
      <w:r>
        <w:rPr>
          <w:rFonts w:ascii="Times New Roman" w:hAnsi="Times New Roman" w:eastAsia="仿宋_GB2312"/>
          <w:color w:val="000000" w:themeColor="text1"/>
          <w:sz w:val="32"/>
          <w:szCs w:val="32"/>
          <w:highlight w:val="none"/>
          <w14:textFill>
            <w14:solidFill>
              <w14:schemeClr w14:val="tx1"/>
            </w14:solidFill>
          </w14:textFill>
        </w:rPr>
        <w:t>一是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项目预算减少</w:t>
      </w:r>
      <w:r>
        <w:rPr>
          <w:rFonts w:ascii="Times New Roman" w:hAnsi="Times New Roman" w:eastAsia="仿宋_GB2312"/>
          <w:color w:val="000000" w:themeColor="text1"/>
          <w:sz w:val="32"/>
          <w:szCs w:val="32"/>
          <w:highlight w:val="none"/>
          <w14:textFill>
            <w14:solidFill>
              <w14:schemeClr w14:val="tx1"/>
            </w14:solidFill>
          </w14:textFill>
        </w:rPr>
        <w:t>；二是</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财政拨款结转结余</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预算减少</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（二）一般公共预算拨款结构情况。</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ascii="Times New Roman" w:hAnsi="Times New Roman" w:eastAsia="楷体" w:cs="Times New Roman"/>
          <w:color w:val="FF0000"/>
          <w:kern w:val="2"/>
          <w:sz w:val="32"/>
          <w:szCs w:val="32"/>
          <w:highlight w:val="none"/>
        </w:rPr>
      </w:pPr>
      <w:r>
        <w:rPr>
          <w:rFonts w:ascii="Times New Roman" w:hAnsi="Times New Roman" w:eastAsia="仿宋_GB2312" w:cs="Times New Roman"/>
          <w:color w:val="000000" w:themeColor="text1"/>
          <w:kern w:val="2"/>
          <w:sz w:val="32"/>
          <w:szCs w:val="32"/>
          <w:highlight w:val="none"/>
          <w14:textFill>
            <w14:solidFill>
              <w14:schemeClr w14:val="tx1"/>
            </w14:solidFill>
          </w14:textFill>
        </w:rPr>
        <w:t>社会保障和就业支出</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105.42</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6.53</w:t>
      </w:r>
      <w:r>
        <w:rPr>
          <w:rFonts w:ascii="Times New Roman" w:hAnsi="Times New Roman" w:eastAsia="仿宋_GB2312" w:cs="Times New Roman"/>
          <w:color w:val="000000" w:themeColor="text1"/>
          <w:kern w:val="2"/>
          <w:sz w:val="32"/>
          <w:szCs w:val="32"/>
          <w:highlight w:val="none"/>
          <w14:textFill>
            <w14:solidFill>
              <w14:schemeClr w14:val="tx1"/>
            </w14:solidFill>
          </w14:textFill>
        </w:rPr>
        <w:t>%；卫生健康支出</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1425.33</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88.32</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%；住房保障支出</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79.06</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4.9</w:t>
      </w:r>
      <w:r>
        <w:rPr>
          <w:rFonts w:ascii="Times New Roman" w:hAnsi="Times New Roman" w:eastAsia="仿宋_GB2312" w:cs="Times New Roman"/>
          <w:color w:val="000000" w:themeColor="text1"/>
          <w:kern w:val="2"/>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债务付息支出4万元，</w:t>
      </w:r>
      <w:r>
        <w:rPr>
          <w:rFonts w:ascii="Times New Roman" w:hAnsi="Times New Roman" w:eastAsia="仿宋_GB2312" w:cs="Times New Roman"/>
          <w:color w:val="000000" w:themeColor="text1"/>
          <w:kern w:val="2"/>
          <w:sz w:val="32"/>
          <w:szCs w:val="32"/>
          <w:highlight w:val="none"/>
          <w14:textFill>
            <w14:solidFill>
              <w14:schemeClr w14:val="tx1"/>
            </w14:solidFill>
          </w14:textFill>
        </w:rPr>
        <w:t>占</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0.25</w:t>
      </w:r>
      <w:r>
        <w:rPr>
          <w:rFonts w:ascii="Times New Roman" w:hAnsi="Times New Roman" w:eastAsia="仿宋_GB2312" w:cs="Times New Roman"/>
          <w:color w:val="000000" w:themeColor="text1"/>
          <w:kern w:val="2"/>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（三）一般公共预算拨款具体使用情况。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1</w:t>
      </w:r>
      <w:r>
        <w:rPr>
          <w:rFonts w:ascii="Times New Roman" w:hAnsi="Times New Roman" w:eastAsia="仿宋_GB2312"/>
          <w:b/>
          <w:color w:val="000000" w:themeColor="text1"/>
          <w:sz w:val="32"/>
          <w:szCs w:val="32"/>
          <w:highlight w:val="none"/>
          <w14:textFill>
            <w14:solidFill>
              <w14:schemeClr w14:val="tx1"/>
            </w14:solidFill>
          </w14:textFill>
        </w:rPr>
        <w:t>.社会保障和就业支出（类）行政事业单位养老支出（款）</w:t>
      </w: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机关事业单位基本养老保险缴费支出</w:t>
      </w:r>
      <w:r>
        <w:rPr>
          <w:rFonts w:ascii="Times New Roman" w:hAnsi="Times New Roman" w:eastAsia="仿宋_GB2312"/>
          <w:b/>
          <w:color w:val="000000" w:themeColor="text1"/>
          <w:sz w:val="32"/>
          <w:szCs w:val="32"/>
          <w:highlight w:val="none"/>
          <w14:textFill>
            <w14:solidFill>
              <w14:schemeClr w14:val="tx1"/>
            </w14:solidFill>
          </w14:textFill>
        </w:rPr>
        <w:t>（项）</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105.42</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预算增加</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39.1</w:t>
      </w:r>
      <w:r>
        <w:rPr>
          <w:rFonts w:ascii="Times New Roman" w:hAnsi="Times New Roman" w:eastAsia="仿宋_GB2312"/>
          <w:color w:val="000000" w:themeColor="text1"/>
          <w:sz w:val="32"/>
          <w:szCs w:val="32"/>
          <w:highlight w:val="none"/>
          <w14:textFill>
            <w14:solidFill>
              <w14:schemeClr w14:val="tx1"/>
            </w14:solidFill>
          </w14:textFill>
        </w:rPr>
        <w:t>万元，增长</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58.96</w:t>
      </w:r>
      <w:r>
        <w:rPr>
          <w:rFonts w:ascii="Times New Roman" w:hAnsi="Times New Roman" w:eastAsia="仿宋_GB2312"/>
          <w:color w:val="000000" w:themeColor="text1"/>
          <w:sz w:val="32"/>
          <w:szCs w:val="32"/>
          <w:highlight w:val="none"/>
          <w14:textFill>
            <w14:solidFill>
              <w14:schemeClr w14:val="tx1"/>
            </w14:solidFill>
          </w14:textFill>
        </w:rPr>
        <w:t>%，增长原因主要是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职工工资增加，养老基数增加</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2.卫生健康支出</w:t>
      </w:r>
      <w:r>
        <w:rPr>
          <w:rFonts w:ascii="Times New Roman" w:hAnsi="Times New Roman" w:eastAsia="仿宋_GB2312"/>
          <w:b/>
          <w:color w:val="000000" w:themeColor="text1"/>
          <w:sz w:val="32"/>
          <w:szCs w:val="32"/>
          <w:highlight w:val="none"/>
          <w14:textFill>
            <w14:solidFill>
              <w14:schemeClr w14:val="tx1"/>
            </w14:solidFill>
          </w14:textFill>
        </w:rPr>
        <w:t>（类）</w:t>
      </w: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公共卫生</w:t>
      </w:r>
      <w:r>
        <w:rPr>
          <w:rFonts w:ascii="Times New Roman" w:hAnsi="Times New Roman" w:eastAsia="仿宋_GB2312"/>
          <w:b/>
          <w:color w:val="000000" w:themeColor="text1"/>
          <w:sz w:val="32"/>
          <w:szCs w:val="32"/>
          <w:highlight w:val="none"/>
          <w14:textFill>
            <w14:solidFill>
              <w14:schemeClr w14:val="tx1"/>
            </w14:solidFill>
          </w14:textFill>
        </w:rPr>
        <w:t>（款）</w:t>
      </w: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疾病预防控制机构</w:t>
      </w:r>
      <w:r>
        <w:rPr>
          <w:rFonts w:ascii="Times New Roman" w:hAnsi="Times New Roman" w:eastAsia="仿宋_GB2312"/>
          <w:b/>
          <w:color w:val="000000" w:themeColor="text1"/>
          <w:sz w:val="32"/>
          <w:szCs w:val="32"/>
          <w:highlight w:val="none"/>
          <w14:textFill>
            <w14:solidFill>
              <w14:schemeClr w14:val="tx1"/>
            </w14:solidFill>
          </w14:textFill>
        </w:rPr>
        <w:t>（项）</w:t>
      </w: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 xml:space="preserve"> </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1425.33</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预算增加</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420.95</w:t>
      </w:r>
      <w:r>
        <w:rPr>
          <w:rFonts w:ascii="Times New Roman" w:hAnsi="Times New Roman" w:eastAsia="仿宋_GB2312"/>
          <w:color w:val="000000" w:themeColor="text1"/>
          <w:sz w:val="32"/>
          <w:szCs w:val="32"/>
          <w:highlight w:val="none"/>
          <w14:textFill>
            <w14:solidFill>
              <w14:schemeClr w14:val="tx1"/>
            </w14:solidFill>
          </w14:textFill>
        </w:rPr>
        <w:t>万元，增长</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41.91</w:t>
      </w:r>
      <w:r>
        <w:rPr>
          <w:rFonts w:ascii="Times New Roman" w:hAnsi="Times New Roman" w:eastAsia="仿宋_GB2312"/>
          <w:color w:val="000000" w:themeColor="text1"/>
          <w:sz w:val="32"/>
          <w:szCs w:val="32"/>
          <w:highlight w:val="none"/>
          <w14:textFill>
            <w14:solidFill>
              <w14:schemeClr w14:val="tx1"/>
            </w14:solidFill>
          </w14:textFill>
        </w:rPr>
        <w:t>%，增长原因主要是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职工工资增加，各项基本支出增加</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3</w:t>
      </w:r>
      <w:r>
        <w:rPr>
          <w:rFonts w:ascii="Times New Roman" w:hAnsi="Times New Roman" w:eastAsia="仿宋_GB2312"/>
          <w:b/>
          <w:color w:val="000000" w:themeColor="text1"/>
          <w:sz w:val="32"/>
          <w:szCs w:val="32"/>
          <w:highlight w:val="none"/>
          <w14:textFill>
            <w14:solidFill>
              <w14:schemeClr w14:val="tx1"/>
            </w14:solidFill>
          </w14:textFill>
        </w:rPr>
        <w:t>.住房保障支出（类）住房改革支出（款）住房公积金（项）</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79.06</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预算增加</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29.32</w:t>
      </w:r>
      <w:r>
        <w:rPr>
          <w:rFonts w:ascii="Times New Roman" w:hAnsi="Times New Roman" w:eastAsia="仿宋_GB2312"/>
          <w:color w:val="000000" w:themeColor="text1"/>
          <w:sz w:val="32"/>
          <w:szCs w:val="32"/>
          <w:highlight w:val="none"/>
          <w14:textFill>
            <w14:solidFill>
              <w14:schemeClr w14:val="tx1"/>
            </w14:solidFill>
          </w14:textFill>
        </w:rPr>
        <w:t>万元，增长</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58.95</w:t>
      </w:r>
      <w:r>
        <w:rPr>
          <w:rFonts w:ascii="Times New Roman" w:hAnsi="Times New Roman" w:eastAsia="仿宋_GB2312"/>
          <w:color w:val="000000" w:themeColor="text1"/>
          <w:sz w:val="32"/>
          <w:szCs w:val="32"/>
          <w:highlight w:val="none"/>
          <w14:textFill>
            <w14:solidFill>
              <w14:schemeClr w14:val="tx1"/>
            </w14:solidFill>
          </w14:textFill>
        </w:rPr>
        <w:t>%，增长原因主要是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职工工资增加，</w:t>
      </w:r>
      <w:r>
        <w:rPr>
          <w:rFonts w:hint="eastAsia" w:ascii="Times New Roman" w:hAnsi="Times New Roman" w:eastAsia="仿宋_GB2312"/>
          <w:color w:val="000000" w:themeColor="text1"/>
          <w:sz w:val="32"/>
          <w:szCs w:val="32"/>
          <w:lang w:val="en-US" w:eastAsia="zh-CN"/>
          <w14:textFill>
            <w14:solidFill>
              <w14:schemeClr w14:val="tx1"/>
            </w14:solidFill>
          </w14:textFill>
        </w:rPr>
        <w:t>公积金缴存基数增加</w:t>
      </w:r>
      <w:r>
        <w:rPr>
          <w:rFonts w:ascii="Times New Roman" w:hAnsi="Times New Roman"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4.债务付息</w:t>
      </w:r>
      <w:r>
        <w:rPr>
          <w:rFonts w:ascii="Times New Roman" w:hAnsi="Times New Roman" w:eastAsia="仿宋_GB2312"/>
          <w:b/>
          <w:color w:val="000000" w:themeColor="text1"/>
          <w:sz w:val="32"/>
          <w:szCs w:val="32"/>
          <w:highlight w:val="none"/>
          <w14:textFill>
            <w14:solidFill>
              <w14:schemeClr w14:val="tx1"/>
            </w14:solidFill>
          </w14:textFill>
        </w:rPr>
        <w:t>支出（类）</w:t>
      </w: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地方政府一般债务付息支出</w:t>
      </w:r>
      <w:r>
        <w:rPr>
          <w:rFonts w:ascii="Times New Roman" w:hAnsi="Times New Roman" w:eastAsia="仿宋_GB2312"/>
          <w:b/>
          <w:color w:val="000000" w:themeColor="text1"/>
          <w:sz w:val="32"/>
          <w:szCs w:val="32"/>
          <w:highlight w:val="none"/>
          <w14:textFill>
            <w14:solidFill>
              <w14:schemeClr w14:val="tx1"/>
            </w14:solidFill>
          </w14:textFill>
        </w:rPr>
        <w:t>（款）</w:t>
      </w:r>
      <w:r>
        <w:rPr>
          <w:rFonts w:hint="eastAsia" w:ascii="Times New Roman" w:hAnsi="Times New Roman" w:eastAsia="仿宋_GB2312"/>
          <w:b/>
          <w:color w:val="000000" w:themeColor="text1"/>
          <w:sz w:val="32"/>
          <w:szCs w:val="32"/>
          <w:highlight w:val="none"/>
          <w:lang w:val="en-US" w:eastAsia="zh-CN"/>
          <w14:textFill>
            <w14:solidFill>
              <w14:schemeClr w14:val="tx1"/>
            </w14:solidFill>
          </w14:textFill>
        </w:rPr>
        <w:t>地方政府向外国政府借款付息支出</w:t>
      </w:r>
      <w:r>
        <w:rPr>
          <w:rFonts w:ascii="Times New Roman" w:hAnsi="Times New Roman" w:eastAsia="仿宋_GB2312"/>
          <w:b/>
          <w:color w:val="000000" w:themeColor="text1"/>
          <w:sz w:val="32"/>
          <w:szCs w:val="32"/>
          <w:highlight w:val="none"/>
          <w14:textFill>
            <w14:solidFill>
              <w14:schemeClr w14:val="tx1"/>
            </w14:solidFill>
          </w14:textFill>
        </w:rPr>
        <w:t>（项）</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预算增加</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万元，增长</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100</w:t>
      </w:r>
      <w:r>
        <w:rPr>
          <w:rFonts w:ascii="Times New Roman" w:hAnsi="Times New Roman" w:eastAsia="仿宋_GB2312"/>
          <w:color w:val="000000" w:themeColor="text1"/>
          <w:sz w:val="32"/>
          <w:szCs w:val="32"/>
          <w:highlight w:val="none"/>
          <w14:textFill>
            <w14:solidFill>
              <w14:schemeClr w14:val="tx1"/>
            </w14:solidFill>
          </w14:textFill>
        </w:rPr>
        <w:t>%，增长原因主要是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2023年日元贷款项目单独列支经济科目</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六</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一般公共预算基本支出</w:t>
      </w:r>
      <w:r>
        <w:rPr>
          <w:rFonts w:hint="eastAsia" w:ascii="Times New Roman" w:hAnsi="Times New Roman" w:eastAsia="黑体"/>
          <w:color w:val="000000" w:themeColor="text1"/>
          <w:sz w:val="32"/>
          <w:szCs w:val="32"/>
          <w:highlight w:val="none"/>
          <w:lang w:eastAsia="zh-CN"/>
          <w14:textFill>
            <w14:solidFill>
              <w14:schemeClr w14:val="tx1"/>
            </w14:solidFill>
          </w14:textFill>
        </w:rPr>
        <w:t>表的</w:t>
      </w:r>
      <w:r>
        <w:rPr>
          <w:rFonts w:ascii="Times New Roman" w:hAnsi="Times New Roman" w:eastAsia="黑体"/>
          <w:color w:val="000000" w:themeColor="text1"/>
          <w:sz w:val="32"/>
          <w:szCs w:val="32"/>
          <w:highlight w:val="none"/>
          <w14:textFill>
            <w14:solidFill>
              <w14:schemeClr w14:val="tx1"/>
            </w14:solidFill>
          </w14:textFill>
        </w:rPr>
        <w:t>说明</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一般公共预算基本支出</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1435.2</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14:textFill>
            <w14:solidFill>
              <w14:schemeClr w14:val="tx1"/>
            </w14:solidFill>
          </w14:textFill>
        </w:rPr>
        <w:t>其中，人员经费</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1266.75</w:t>
      </w:r>
      <w:r>
        <w:rPr>
          <w:rFonts w:hint="eastAsia" w:ascii="Times New Roman" w:hAnsi="Times New Roman" w:eastAsia="仿宋_GB2312"/>
          <w:color w:val="000000" w:themeColor="text1"/>
          <w:sz w:val="32"/>
          <w:szCs w:val="32"/>
          <w:highlight w:val="none"/>
          <w14:textFill>
            <w14:solidFill>
              <w14:schemeClr w14:val="tx1"/>
            </w14:solidFill>
          </w14:textFill>
        </w:rPr>
        <w:t>万元，公用经费</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168.45</w:t>
      </w:r>
      <w:r>
        <w:rPr>
          <w:rFonts w:hint="eastAsia" w:ascii="Times New Roman" w:hAnsi="Times New Roman" w:eastAsia="仿宋_GB2312"/>
          <w:color w:val="000000" w:themeColor="text1"/>
          <w:sz w:val="32"/>
          <w:szCs w:val="32"/>
          <w:highlight w:val="none"/>
          <w14:textFill>
            <w14:solidFill>
              <w14:schemeClr w14:val="tx1"/>
            </w14:solidFill>
          </w14:textFill>
        </w:rPr>
        <w:t>万元。</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（一）人员经费</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1266.75</w:t>
      </w:r>
      <w:r>
        <w:rPr>
          <w:rFonts w:hint="eastAsia" w:ascii="Times New Roman" w:hAnsi="Times New Roman" w:eastAsia="仿宋_GB2312"/>
          <w:color w:val="000000" w:themeColor="text1"/>
          <w:sz w:val="32"/>
          <w:szCs w:val="32"/>
          <w:highlight w:val="none"/>
          <w14:textFill>
            <w14:solidFill>
              <w14:schemeClr w14:val="tx1"/>
            </w14:solidFill>
          </w14:textFill>
        </w:rPr>
        <w:t>万元，主要包括:</w:t>
      </w:r>
      <w:r>
        <w:rPr>
          <w:rFonts w:hint="eastAsia" w:ascii="Times New Roman" w:hAnsi="Times New Roman" w:eastAsia="仿宋_GB2312" w:cs="Times New Roman"/>
          <w:color w:val="000000" w:themeColor="text1"/>
          <w:sz w:val="32"/>
          <w:szCs w:val="32"/>
          <w14:textFill>
            <w14:solidFill>
              <w14:schemeClr w14:val="tx1"/>
            </w14:solidFill>
          </w14:textFill>
        </w:rPr>
        <w:t>基本工资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267.97</w:t>
      </w:r>
      <w:r>
        <w:rPr>
          <w:rFonts w:hint="eastAsia" w:ascii="Times New Roman" w:hAnsi="Times New Roman" w:eastAsia="仿宋_GB2312" w:cs="Times New Roman"/>
          <w:color w:val="000000" w:themeColor="text1"/>
          <w:sz w:val="32"/>
          <w:szCs w:val="32"/>
          <w14:textFill>
            <w14:solidFill>
              <w14:schemeClr w14:val="tx1"/>
            </w14:solidFill>
          </w14:textFill>
        </w:rPr>
        <w:t>万元、机关事业单位养老保险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105.42</w:t>
      </w:r>
      <w:r>
        <w:rPr>
          <w:rFonts w:hint="eastAsia" w:ascii="Times New Roman" w:hAnsi="Times New Roman" w:eastAsia="仿宋_GB2312" w:cs="Times New Roman"/>
          <w:color w:val="000000" w:themeColor="text1"/>
          <w:sz w:val="32"/>
          <w:szCs w:val="32"/>
          <w14:textFill>
            <w14:solidFill>
              <w14:schemeClr w14:val="tx1"/>
            </w14:solidFill>
          </w14:textFill>
        </w:rPr>
        <w:t>万元、津贴补贴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13.78</w:t>
      </w:r>
      <w:r>
        <w:rPr>
          <w:rFonts w:hint="eastAsia" w:ascii="Times New Roman" w:hAnsi="Times New Roman" w:eastAsia="仿宋_GB2312" w:cs="Times New Roman"/>
          <w:color w:val="000000" w:themeColor="text1"/>
          <w:sz w:val="32"/>
          <w:szCs w:val="32"/>
          <w14:textFill>
            <w14:solidFill>
              <w14:schemeClr w14:val="tx1"/>
            </w14:solidFill>
          </w14:textFill>
        </w:rPr>
        <w:t>万元、绩效工资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171.21</w:t>
      </w:r>
      <w:r>
        <w:rPr>
          <w:rFonts w:hint="eastAsia" w:ascii="Times New Roman" w:hAnsi="Times New Roman" w:eastAsia="仿宋_GB2312" w:cs="Times New Roman"/>
          <w:color w:val="000000" w:themeColor="text1"/>
          <w:sz w:val="32"/>
          <w:szCs w:val="32"/>
          <w14:textFill>
            <w14:solidFill>
              <w14:schemeClr w14:val="tx1"/>
            </w14:solidFill>
          </w14:textFill>
        </w:rPr>
        <w:t>万元、其他工资福利支出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216.36</w:t>
      </w:r>
      <w:r>
        <w:rPr>
          <w:rFonts w:hint="eastAsia" w:ascii="Times New Roman" w:hAnsi="Times New Roman" w:eastAsia="仿宋_GB2312" w:cs="Times New Roman"/>
          <w:color w:val="000000" w:themeColor="text1"/>
          <w:sz w:val="32"/>
          <w:szCs w:val="32"/>
          <w14:textFill>
            <w14:solidFill>
              <w14:schemeClr w14:val="tx1"/>
            </w14:solidFill>
          </w14:textFill>
        </w:rPr>
        <w:t>万元、伙食补助费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30.6</w:t>
      </w:r>
      <w:r>
        <w:rPr>
          <w:rFonts w:hint="eastAsia" w:ascii="Times New Roman" w:hAnsi="Times New Roman" w:eastAsia="仿宋_GB2312" w:cs="Times New Roman"/>
          <w:color w:val="000000" w:themeColor="text1"/>
          <w:sz w:val="32"/>
          <w:szCs w:val="32"/>
          <w14:textFill>
            <w14:solidFill>
              <w14:schemeClr w14:val="tx1"/>
            </w14:solidFill>
          </w14:textFill>
        </w:rPr>
        <w:t>万元、职工基本医疗保险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31.71</w:t>
      </w:r>
      <w:r>
        <w:rPr>
          <w:rFonts w:hint="eastAsia" w:ascii="Times New Roman" w:hAnsi="Times New Roman" w:eastAsia="仿宋_GB2312" w:cs="Times New Roman"/>
          <w:color w:val="000000" w:themeColor="text1"/>
          <w:sz w:val="32"/>
          <w:szCs w:val="32"/>
          <w14:textFill>
            <w14:solidFill>
              <w14:schemeClr w14:val="tx1"/>
            </w14:solidFill>
          </w14:textFill>
        </w:rPr>
        <w:t>万元、其他社会保障支出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3.17</w:t>
      </w:r>
      <w:r>
        <w:rPr>
          <w:rFonts w:hint="eastAsia" w:ascii="Times New Roman" w:hAnsi="Times New Roman" w:eastAsia="仿宋_GB2312" w:cs="Times New Roman"/>
          <w:color w:val="000000" w:themeColor="text1"/>
          <w:sz w:val="32"/>
          <w:szCs w:val="32"/>
          <w14:textFill>
            <w14:solidFill>
              <w14:schemeClr w14:val="tx1"/>
            </w14:solidFill>
          </w14:textFill>
        </w:rPr>
        <w:t>万元、住房公积金</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79.06</w:t>
      </w:r>
      <w:r>
        <w:rPr>
          <w:rFonts w:hint="eastAsia"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奖金205.91万元、</w:t>
      </w:r>
      <w:r>
        <w:rPr>
          <w:rFonts w:hint="eastAsia" w:ascii="Times New Roman" w:hAnsi="Times New Roman" w:eastAsia="仿宋_GB2312" w:cs="Times New Roman"/>
          <w:color w:val="000000" w:themeColor="text1"/>
          <w:sz w:val="32"/>
          <w:szCs w:val="32"/>
          <w14:textFill>
            <w14:solidFill>
              <w14:schemeClr w14:val="tx1"/>
            </w14:solidFill>
          </w14:textFill>
        </w:rPr>
        <w:t>离休费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13.69</w:t>
      </w:r>
      <w:r>
        <w:rPr>
          <w:rFonts w:hint="eastAsia" w:ascii="Times New Roman" w:hAnsi="Times New Roman" w:eastAsia="仿宋_GB2312" w:cs="Times New Roman"/>
          <w:color w:val="000000" w:themeColor="text1"/>
          <w:sz w:val="32"/>
          <w:szCs w:val="32"/>
          <w14:textFill>
            <w14:solidFill>
              <w14:schemeClr w14:val="tx1"/>
            </w14:solidFill>
          </w14:textFill>
        </w:rPr>
        <w:t>万元、医疗费补助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1.64</w:t>
      </w:r>
      <w:r>
        <w:rPr>
          <w:rFonts w:hint="eastAsia" w:ascii="Times New Roman" w:hAnsi="Times New Roman" w:eastAsia="仿宋_GB2312" w:cs="Times New Roman"/>
          <w:color w:val="000000" w:themeColor="text1"/>
          <w:sz w:val="32"/>
          <w:szCs w:val="32"/>
          <w14:textFill>
            <w14:solidFill>
              <w14:schemeClr w14:val="tx1"/>
            </w14:solidFill>
          </w14:textFill>
        </w:rPr>
        <w:t>万元、生活补助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0.85</w:t>
      </w:r>
      <w:r>
        <w:rPr>
          <w:rFonts w:hint="eastAsia" w:ascii="Times New Roman" w:hAnsi="Times New Roman" w:eastAsia="仿宋_GB2312" w:cs="Times New Roman"/>
          <w:color w:val="000000" w:themeColor="text1"/>
          <w:sz w:val="32"/>
          <w:szCs w:val="32"/>
          <w14:textFill>
            <w14:solidFill>
              <w14:schemeClr w14:val="tx1"/>
            </w14:solidFill>
          </w14:textFill>
        </w:rPr>
        <w:t>万元、其他对个人和家庭的补助</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0.92</w:t>
      </w:r>
      <w:r>
        <w:rPr>
          <w:rFonts w:hint="eastAsia"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退休费124.46万元。</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（二）公用经费</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168.45</w:t>
      </w:r>
      <w:r>
        <w:rPr>
          <w:rFonts w:hint="eastAsia" w:ascii="Times New Roman" w:hAnsi="Times New Roman" w:eastAsia="仿宋_GB2312"/>
          <w:color w:val="000000" w:themeColor="text1"/>
          <w:sz w:val="32"/>
          <w:szCs w:val="32"/>
          <w:highlight w:val="none"/>
          <w14:textFill>
            <w14:solidFill>
              <w14:schemeClr w14:val="tx1"/>
            </w14:solidFill>
          </w14:textFill>
        </w:rPr>
        <w:t>万元，主要包括：</w:t>
      </w:r>
      <w:r>
        <w:rPr>
          <w:rFonts w:hint="eastAsia" w:ascii="Times New Roman" w:hAnsi="Times New Roman" w:eastAsia="仿宋_GB2312" w:cs="Times New Roman"/>
          <w:color w:val="000000" w:themeColor="text1"/>
          <w:sz w:val="32"/>
          <w:szCs w:val="32"/>
          <w14:textFill>
            <w14:solidFill>
              <w14:schemeClr w14:val="tx1"/>
            </w14:solidFill>
          </w14:textFill>
        </w:rPr>
        <w:t>办公费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13.94</w:t>
      </w:r>
      <w:r>
        <w:rPr>
          <w:rFonts w:hint="eastAsia" w:ascii="Times New Roman" w:hAnsi="Times New Roman" w:eastAsia="仿宋_GB2312" w:cs="Times New Roman"/>
          <w:color w:val="000000" w:themeColor="text1"/>
          <w:sz w:val="32"/>
          <w:szCs w:val="32"/>
          <w14:textFill>
            <w14:solidFill>
              <w14:schemeClr w14:val="tx1"/>
            </w14:solidFill>
          </w14:textFill>
        </w:rPr>
        <w:t>万元、差旅费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sz w:val="32"/>
          <w:szCs w:val="32"/>
          <w14:textFill>
            <w14:solidFill>
              <w14:schemeClr w14:val="tx1"/>
            </w14:solidFill>
          </w14:textFill>
        </w:rPr>
        <w:t>万元、劳务费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10.46</w:t>
      </w:r>
      <w:r>
        <w:rPr>
          <w:rFonts w:hint="eastAsia" w:ascii="Times New Roman" w:hAnsi="Times New Roman" w:eastAsia="仿宋_GB2312" w:cs="Times New Roman"/>
          <w:color w:val="000000" w:themeColor="text1"/>
          <w:sz w:val="32"/>
          <w:szCs w:val="32"/>
          <w14:textFill>
            <w14:solidFill>
              <w14:schemeClr w14:val="tx1"/>
            </w14:solidFill>
          </w14:textFill>
        </w:rPr>
        <w:t>万元、福利费0.2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万元、工会经费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14.44</w:t>
      </w:r>
      <w:r>
        <w:rPr>
          <w:rFonts w:hint="eastAsia" w:ascii="Times New Roman" w:hAnsi="Times New Roman" w:eastAsia="仿宋_GB2312" w:cs="Times New Roman"/>
          <w:color w:val="000000" w:themeColor="text1"/>
          <w:sz w:val="32"/>
          <w:szCs w:val="32"/>
          <w14:textFill>
            <w14:solidFill>
              <w14:schemeClr w14:val="tx1"/>
            </w14:solidFill>
          </w14:textFill>
        </w:rPr>
        <w:t>万元、公务用车运行维护8万元、其他商品服务支出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26.75</w:t>
      </w:r>
      <w:r>
        <w:rPr>
          <w:rFonts w:hint="eastAsia" w:ascii="Times New Roman" w:hAnsi="Times New Roman" w:eastAsia="仿宋_GB2312" w:cs="Times New Roman"/>
          <w:color w:val="000000" w:themeColor="text1"/>
          <w:sz w:val="32"/>
          <w:szCs w:val="32"/>
          <w14:textFill>
            <w14:solidFill>
              <w14:schemeClr w14:val="tx1"/>
            </w14:solidFill>
          </w14:textFill>
        </w:rPr>
        <w:t>万元、电费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24</w:t>
      </w:r>
      <w:r>
        <w:rPr>
          <w:rFonts w:hint="eastAsia" w:ascii="Times New Roman" w:hAnsi="Times New Roman" w:eastAsia="仿宋_GB2312" w:cs="Times New Roman"/>
          <w:color w:val="000000" w:themeColor="text1"/>
          <w:sz w:val="32"/>
          <w:szCs w:val="32"/>
          <w14:textFill>
            <w14:solidFill>
              <w14:schemeClr w14:val="tx1"/>
            </w14:solidFill>
          </w14:textFill>
        </w:rPr>
        <w:t>万元、水费0.85万元、物业管理费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35</w:t>
      </w:r>
      <w:r>
        <w:rPr>
          <w:rFonts w:hint="eastAsia" w:ascii="Times New Roman" w:hAnsi="Times New Roman" w:eastAsia="仿宋_GB2312" w:cs="Times New Roman"/>
          <w:color w:val="000000" w:themeColor="text1"/>
          <w:sz w:val="32"/>
          <w:szCs w:val="32"/>
          <w14:textFill>
            <w14:solidFill>
              <w14:schemeClr w14:val="tx1"/>
            </w14:solidFill>
          </w14:textFill>
        </w:rPr>
        <w:t>万元、印刷费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14:textFill>
            <w14:solidFill>
              <w14:schemeClr w14:val="tx1"/>
            </w14:solidFill>
          </w14:textFill>
        </w:rPr>
        <w:t>万元、邮电费15万元、维修（护）费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7</w:t>
      </w:r>
      <w:r>
        <w:rPr>
          <w:rFonts w:hint="eastAsia" w:ascii="Times New Roman" w:hAnsi="Times New Roman" w:eastAsia="仿宋_GB2312" w:cs="Times New Roman"/>
          <w:color w:val="000000" w:themeColor="text1"/>
          <w:sz w:val="32"/>
          <w:szCs w:val="32"/>
          <w14:textFill>
            <w14:solidFill>
              <w14:schemeClr w14:val="tx1"/>
            </w14:solidFill>
          </w14:textFill>
        </w:rPr>
        <w:t>万元、公务接待费4万元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会议费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0.5万元、</w:t>
      </w:r>
      <w:r>
        <w:rPr>
          <w:rFonts w:ascii="Times New Roman" w:hAnsi="Times New Roman" w:eastAsia="仿宋_GB2312" w:cs="Times New Roman"/>
          <w:color w:val="000000" w:themeColor="text1"/>
          <w:sz w:val="32"/>
          <w:szCs w:val="32"/>
          <w14:textFill>
            <w14:solidFill>
              <w14:schemeClr w14:val="tx1"/>
            </w14:solidFill>
          </w14:textFill>
        </w:rPr>
        <w:t>其他交通费</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1.16万元、</w:t>
      </w:r>
      <w:r>
        <w:rPr>
          <w:rFonts w:hint="eastAsia" w:ascii="Times New Roman" w:hAnsi="Times New Roman" w:eastAsia="仿宋_GB2312" w:cs="Times New Roman"/>
          <w:color w:val="000000" w:themeColor="text1"/>
          <w:sz w:val="32"/>
          <w:szCs w:val="32"/>
          <w14:textFill>
            <w14:solidFill>
              <w14:schemeClr w14:val="tx1"/>
            </w14:solidFill>
          </w14:textFill>
        </w:rPr>
        <w:t>资本性支出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3.1万元，主要包括办公设备购置3.1万元。</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七</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政府性基金预算拨款情况说明</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ascii="Times New Roman" w:hAnsi="Times New Roman" w:eastAsia="仿宋_GB2312" w:cs="Times New Roman"/>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2023年</w:t>
      </w:r>
      <w:r>
        <w:rPr>
          <w:rFonts w:ascii="Times New Roman" w:hAnsi="Times New Roman" w:eastAsia="仿宋_GB2312" w:cs="Times New Roman"/>
          <w:color w:val="000000" w:themeColor="text1"/>
          <w:sz w:val="32"/>
          <w:szCs w:val="32"/>
          <w:highlight w:val="none"/>
          <w14:textFill>
            <w14:solidFill>
              <w14:schemeClr w14:val="tx1"/>
            </w14:solidFill>
          </w14:textFill>
        </w:rPr>
        <w:t>没有政府性基金预算拨款收入，也没有使用政府性基金预算拨款安排的支出。</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八</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国有资本经营预算拨款情况说明</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ascii="Times New Roman" w:hAnsi="Times New Roman" w:eastAsia="仿宋_GB2312" w:cs="Times New Roman"/>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2023年</w:t>
      </w:r>
      <w:r>
        <w:rPr>
          <w:rFonts w:ascii="Times New Roman" w:hAnsi="Times New Roman" w:eastAsia="仿宋_GB2312" w:cs="Times New Roman"/>
          <w:color w:val="000000" w:themeColor="text1"/>
          <w:sz w:val="32"/>
          <w:szCs w:val="32"/>
          <w:highlight w:val="none"/>
          <w14:textFill>
            <w14:solidFill>
              <w14:schemeClr w14:val="tx1"/>
            </w14:solidFill>
          </w14:textFill>
        </w:rPr>
        <w:t>没有国有资本经营预算拨款收入，也没有使用国有资本经营预算拨款安排的支出。</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黑体" w:cs="Times New Roman"/>
          <w:color w:val="000000" w:themeColor="text1"/>
          <w:kern w:val="2"/>
          <w:sz w:val="32"/>
          <w:szCs w:val="32"/>
          <w:highlight w:val="none"/>
          <w:lang w:val="en-US" w:eastAsia="zh-CN" w:bidi="ar-SA"/>
          <w14:textFill>
            <w14:solidFill>
              <w14:schemeClr w14:val="tx1"/>
            </w14:solidFill>
          </w14:textFill>
        </w:rPr>
        <w:t>九、关于2023年项目支出表的说明</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2023年预算共安排项目支出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178.62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万元，较2022年预算减少</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632.39</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万元，下降</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77.98</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%，下降原因主要是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项目预算和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财政拨款结转结余</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预算减少</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全部为</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：本年财政拨款安排</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178.62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万元（</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全部为</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一般公共预算拨款安排</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178.62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万元）。</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ascii="仿宋_GB2312" w:hAnsi="仿宋" w:eastAsia="仿宋_GB2312"/>
          <w:sz w:val="32"/>
          <w:szCs w:val="32"/>
          <w:highlight w:val="none"/>
        </w:rPr>
      </w:pPr>
      <w:r>
        <w:rPr>
          <w:rFonts w:hint="eastAsia" w:ascii="Times New Roman" w:hAnsi="Times New Roman" w:eastAsia="黑体" w:cs="Times New Roman"/>
          <w:color w:val="000000" w:themeColor="text1"/>
          <w:kern w:val="2"/>
          <w:sz w:val="32"/>
          <w:szCs w:val="32"/>
          <w:highlight w:val="none"/>
          <w:lang w:val="en-US" w:eastAsia="zh-CN" w:bidi="ar-SA"/>
          <w14:textFill>
            <w14:solidFill>
              <w14:schemeClr w14:val="tx1"/>
            </w14:solidFill>
          </w14:textFill>
        </w:rPr>
        <w:t>十、关于2023年政府采购支出表的说明</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2023年预算安排政府采购支出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88.02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万元，较2022年预算增加</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44.03</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万元，增长</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100</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%，增长原因主要是</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增加了</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人类免疫缺陷病毒核酸定量检测试剂盒采购。其中，一般公共预算安排</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88.02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万元，占</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100</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ascii="黑体" w:hAnsi="仿宋" w:eastAsia="黑体"/>
          <w:sz w:val="32"/>
          <w:szCs w:val="32"/>
          <w:highlight w:val="none"/>
        </w:rPr>
      </w:pPr>
      <w:r>
        <w:rPr>
          <w:rFonts w:hint="eastAsia" w:ascii="黑体" w:hAnsi="仿宋" w:eastAsia="黑体"/>
          <w:sz w:val="32"/>
          <w:szCs w:val="32"/>
          <w:highlight w:val="none"/>
        </w:rPr>
        <w:t>十一、关于</w:t>
      </w:r>
      <w:r>
        <w:rPr>
          <w:rFonts w:hint="eastAsia" w:ascii="黑体" w:hAnsi="仿宋" w:eastAsia="黑体"/>
          <w:sz w:val="32"/>
          <w:szCs w:val="32"/>
          <w:highlight w:val="none"/>
          <w:lang w:eastAsia="zh-CN"/>
        </w:rPr>
        <w:t>2023年</w:t>
      </w:r>
      <w:r>
        <w:rPr>
          <w:rFonts w:hint="eastAsia" w:ascii="黑体" w:hAnsi="仿宋" w:eastAsia="黑体"/>
          <w:sz w:val="32"/>
          <w:szCs w:val="32"/>
          <w:highlight w:val="none"/>
        </w:rPr>
        <w:t>政府购买服务支出表的说明</w:t>
      </w:r>
    </w:p>
    <w:p>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2023年没有安排政府购买服务支出。</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lang w:eastAsia="zh-CN"/>
          <w14:textFill>
            <w14:solidFill>
              <w14:schemeClr w14:val="tx1"/>
            </w14:solidFill>
          </w14:textFill>
        </w:rPr>
        <w:t>十二</w:t>
      </w:r>
      <w:r>
        <w:rPr>
          <w:rFonts w:ascii="Times New Roman" w:hAnsi="Times New Roman" w:eastAsia="黑体"/>
          <w:color w:val="000000" w:themeColor="text1"/>
          <w:sz w:val="32"/>
          <w:szCs w:val="32"/>
          <w:highlight w:val="none"/>
          <w14:textFill>
            <w14:solidFill>
              <w14:schemeClr w14:val="tx1"/>
            </w14:solidFill>
          </w14:textFill>
        </w:rPr>
        <w:t>、关于</w:t>
      </w:r>
      <w:r>
        <w:rPr>
          <w:rFonts w:hint="eastAsia" w:ascii="Times New Roman" w:hAnsi="Times New Roman" w:eastAsia="黑体"/>
          <w:color w:val="000000" w:themeColor="text1"/>
          <w:sz w:val="32"/>
          <w:szCs w:val="32"/>
          <w:highlight w:val="none"/>
          <w:lang w:eastAsia="zh-CN"/>
          <w14:textFill>
            <w14:solidFill>
              <w14:schemeClr w14:val="tx1"/>
            </w14:solidFill>
          </w14:textFill>
        </w:rPr>
        <w:t>2023年</w:t>
      </w:r>
      <w:r>
        <w:rPr>
          <w:rFonts w:ascii="Times New Roman" w:hAnsi="Times New Roman" w:eastAsia="黑体"/>
          <w:color w:val="000000" w:themeColor="text1"/>
          <w:sz w:val="32"/>
          <w:szCs w:val="32"/>
          <w:highlight w:val="none"/>
          <w14:textFill>
            <w14:solidFill>
              <w14:schemeClr w14:val="tx1"/>
            </w14:solidFill>
          </w14:textFill>
        </w:rPr>
        <w:t>“三公”经费</w:t>
      </w:r>
      <w:r>
        <w:rPr>
          <w:rFonts w:hint="eastAsia" w:ascii="Times New Roman" w:hAnsi="Times New Roman" w:eastAsia="黑体"/>
          <w:color w:val="000000" w:themeColor="text1"/>
          <w:sz w:val="32"/>
          <w:szCs w:val="32"/>
          <w:highlight w:val="none"/>
          <w14:textFill>
            <w14:solidFill>
              <w14:schemeClr w14:val="tx1"/>
            </w14:solidFill>
          </w14:textFill>
        </w:rPr>
        <w:t>支出</w:t>
      </w:r>
      <w:r>
        <w:rPr>
          <w:rFonts w:ascii="Times New Roman" w:hAnsi="Times New Roman" w:eastAsia="黑体"/>
          <w:color w:val="000000" w:themeColor="text1"/>
          <w:sz w:val="32"/>
          <w:szCs w:val="32"/>
          <w:highlight w:val="none"/>
          <w14:textFill>
            <w14:solidFill>
              <w14:schemeClr w14:val="tx1"/>
            </w14:solidFill>
          </w14:textFill>
        </w:rPr>
        <w:t>预算情况说明</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14:textFill>
            <w14:solidFill>
              <w14:schemeClr w14:val="tx1"/>
            </w14:solidFill>
          </w14:textFill>
        </w:rPr>
        <w:t>一般公共预算财政拨款</w:t>
      </w:r>
      <w:r>
        <w:rPr>
          <w:rFonts w:ascii="Times New Roman" w:hAnsi="Times New Roman" w:eastAsia="仿宋_GB2312"/>
          <w:color w:val="000000" w:themeColor="text1"/>
          <w:sz w:val="32"/>
          <w:szCs w:val="32"/>
          <w:highlight w:val="none"/>
          <w14:textFill>
            <w14:solidFill>
              <w14:schemeClr w14:val="tx1"/>
            </w14:solidFill>
          </w14:textFill>
        </w:rPr>
        <w:t>“三公”经费支出预算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12</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14:textFill>
            <w14:solidFill>
              <w14:schemeClr w14:val="tx1"/>
            </w14:solidFill>
          </w14:textFill>
        </w:rPr>
        <w:t>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2022年</w:t>
      </w:r>
      <w:r>
        <w:rPr>
          <w:rFonts w:hint="eastAsia" w:ascii="Times New Roman" w:hAnsi="Times New Roman" w:eastAsia="仿宋_GB2312"/>
          <w:color w:val="000000" w:themeColor="text1"/>
          <w:sz w:val="32"/>
          <w:szCs w:val="32"/>
          <w:highlight w:val="none"/>
          <w14:textFill>
            <w14:solidFill>
              <w14:schemeClr w14:val="tx1"/>
            </w14:solidFill>
          </w14:textFill>
        </w:rPr>
        <w:t>相比</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w:t>
      </w:r>
      <w:bookmarkStart w:id="0" w:name="_GoBack"/>
      <w:bookmarkEnd w:id="0"/>
      <w:r>
        <w:rPr>
          <w:rFonts w:ascii="Times New Roman" w:hAnsi="Times New Roman" w:eastAsia="仿宋_GB2312"/>
          <w:color w:val="000000" w:themeColor="text1"/>
          <w:sz w:val="32"/>
          <w:szCs w:val="32"/>
          <w:highlight w:val="none"/>
          <w14:textFill>
            <w14:solidFill>
              <w14:schemeClr w14:val="tx1"/>
            </w14:solidFill>
          </w14:textFill>
        </w:rPr>
        <w:t>算减少</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2</w:t>
      </w:r>
      <w:r>
        <w:rPr>
          <w:rFonts w:ascii="Times New Roman" w:hAnsi="Times New Roman" w:eastAsia="仿宋_GB2312"/>
          <w:color w:val="000000" w:themeColor="text1"/>
          <w:sz w:val="32"/>
          <w:szCs w:val="32"/>
          <w:highlight w:val="none"/>
          <w14:textFill>
            <w14:solidFill>
              <w14:schemeClr w14:val="tx1"/>
            </w14:solidFill>
          </w14:textFill>
        </w:rPr>
        <w:t>万元，下降</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14.29</w:t>
      </w:r>
      <w:r>
        <w:rPr>
          <w:rFonts w:ascii="Times New Roman" w:hAnsi="Times New Roman" w:eastAsia="仿宋_GB2312"/>
          <w:color w:val="000000" w:themeColor="text1"/>
          <w:sz w:val="32"/>
          <w:szCs w:val="32"/>
          <w:highlight w:val="none"/>
          <w14:textFill>
            <w14:solidFill>
              <w14:schemeClr w14:val="tx1"/>
            </w14:solidFill>
          </w14:textFill>
        </w:rPr>
        <w:t>%。其中因公出国（境）费</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0</w:t>
      </w:r>
      <w:r>
        <w:rPr>
          <w:rFonts w:ascii="Times New Roman" w:hAnsi="Times New Roman" w:eastAsia="仿宋_GB2312"/>
          <w:color w:val="000000" w:themeColor="text1"/>
          <w:sz w:val="32"/>
          <w:szCs w:val="32"/>
          <w:highlight w:val="none"/>
          <w14:textFill>
            <w14:solidFill>
              <w14:schemeClr w14:val="tx1"/>
            </w14:solidFill>
          </w14:textFill>
        </w:rPr>
        <w:t>万元，公务接待费</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万元，公务用车购置及运行费</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8</w:t>
      </w:r>
      <w:r>
        <w:rPr>
          <w:rFonts w:ascii="Times New Roman" w:hAnsi="Times New Roman" w:eastAsia="仿宋_GB2312"/>
          <w:color w:val="000000" w:themeColor="text1"/>
          <w:sz w:val="32"/>
          <w:szCs w:val="32"/>
          <w:highlight w:val="none"/>
          <w14:textFill>
            <w14:solidFill>
              <w14:schemeClr w14:val="tx1"/>
            </w14:solidFill>
          </w14:textFill>
        </w:rPr>
        <w:t>万元。具体情况如下：</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（一）因公出国（境）费。</w:t>
      </w:r>
      <w:r>
        <w:rPr>
          <w:rFonts w:ascii="Times New Roman" w:hAnsi="Times New Roman" w:eastAsia="仿宋_GB2312"/>
          <w:color w:val="000000" w:themeColor="text1"/>
          <w:sz w:val="32"/>
          <w:szCs w:val="32"/>
          <w:highlight w:val="none"/>
          <w14:textFill>
            <w14:solidFill>
              <w14:schemeClr w14:val="tx1"/>
            </w14:solidFill>
          </w14:textFill>
        </w:rPr>
        <w:t>支出预算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0</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14:textFill>
            <w14:solidFill>
              <w14:schemeClr w14:val="tx1"/>
            </w14:solidFill>
          </w14:textFill>
        </w:rPr>
        <w:t>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上</w:t>
      </w:r>
      <w:r>
        <w:rPr>
          <w:rFonts w:hint="eastAsia" w:ascii="Times New Roman" w:hAnsi="Times New Roman" w:eastAsia="仿宋_GB2312"/>
          <w:color w:val="000000" w:themeColor="text1"/>
          <w:sz w:val="32"/>
          <w:szCs w:val="32"/>
          <w:highlight w:val="none"/>
          <w14:textFill>
            <w14:solidFill>
              <w14:schemeClr w14:val="tx1"/>
            </w14:solidFill>
          </w14:textFill>
        </w:rPr>
        <w:t>年预算</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持平</w:t>
      </w:r>
      <w:r>
        <w:rPr>
          <w:rFonts w:hint="eastAsia" w:ascii="Times New Roman" w:hAnsi="Times New Roman" w:eastAsia="仿宋_GB2312"/>
          <w:color w:val="000000" w:themeColor="text1"/>
          <w:sz w:val="32"/>
          <w:szCs w:val="32"/>
          <w:highlight w:val="none"/>
          <w14:textFill>
            <w14:solidFill>
              <w14:schemeClr w14:val="tx1"/>
            </w14:solidFill>
          </w14:textFill>
        </w:rPr>
        <w:t>，主要原因是经费使用贯彻落实</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党中央八项规定</w:t>
      </w:r>
      <w:r>
        <w:rPr>
          <w:rFonts w:hint="eastAsia" w:ascii="Times New Roman" w:hAnsi="Times New Roman" w:eastAsia="仿宋_GB2312"/>
          <w:color w:val="000000" w:themeColor="text1"/>
          <w:sz w:val="32"/>
          <w:szCs w:val="32"/>
          <w:highlight w:val="none"/>
          <w14:textFill>
            <w14:solidFill>
              <w14:schemeClr w14:val="tx1"/>
            </w14:solidFill>
          </w14:textFill>
        </w:rPr>
        <w:t>和市委市政府20条要求。</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（二）公务接待费。</w:t>
      </w:r>
      <w:r>
        <w:rPr>
          <w:rFonts w:ascii="Times New Roman" w:hAnsi="Times New Roman" w:eastAsia="仿宋_GB2312"/>
          <w:color w:val="000000" w:themeColor="text1"/>
          <w:sz w:val="32"/>
          <w:szCs w:val="32"/>
          <w:highlight w:val="none"/>
          <w14:textFill>
            <w14:solidFill>
              <w14:schemeClr w14:val="tx1"/>
            </w14:solidFill>
          </w14:textFill>
        </w:rPr>
        <w:t>支出预算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万元，与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2022年</w:t>
      </w:r>
      <w:r>
        <w:rPr>
          <w:rFonts w:ascii="Times New Roman" w:hAnsi="Times New Roman" w:eastAsia="仿宋_GB2312"/>
          <w:color w:val="000000" w:themeColor="text1"/>
          <w:sz w:val="32"/>
          <w:szCs w:val="32"/>
          <w:highlight w:val="none"/>
          <w14:textFill>
            <w14:solidFill>
              <w14:schemeClr w14:val="tx1"/>
            </w14:solidFill>
          </w14:textFill>
        </w:rPr>
        <w:t>相比</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sz w:val="32"/>
          <w:szCs w:val="32"/>
          <w:highlight w:val="none"/>
          <w14:textFill>
            <w14:solidFill>
              <w14:schemeClr w14:val="tx1"/>
            </w14:solidFill>
          </w14:textFill>
        </w:rPr>
        <w:t>预算减少</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2</w:t>
      </w:r>
      <w:r>
        <w:rPr>
          <w:rFonts w:ascii="Times New Roman" w:hAnsi="Times New Roman" w:eastAsia="仿宋_GB2312"/>
          <w:color w:val="000000" w:themeColor="text1"/>
          <w:sz w:val="32"/>
          <w:szCs w:val="32"/>
          <w:highlight w:val="none"/>
          <w14:textFill>
            <w14:solidFill>
              <w14:schemeClr w14:val="tx1"/>
            </w14:solidFill>
          </w14:textFill>
        </w:rPr>
        <w:t>万元，下降</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33.33</w:t>
      </w:r>
      <w:r>
        <w:rPr>
          <w:rFonts w:ascii="Times New Roman" w:hAnsi="Times New Roman" w:eastAsia="仿宋_GB2312"/>
          <w:color w:val="000000" w:themeColor="text1"/>
          <w:sz w:val="32"/>
          <w:szCs w:val="32"/>
          <w:highlight w:val="none"/>
          <w14:textFill>
            <w14:solidFill>
              <w14:schemeClr w14:val="tx1"/>
            </w14:solidFill>
          </w14:textFill>
        </w:rPr>
        <w:t>%，主要原因是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公务接待费减少</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highlight w:val="none"/>
          <w14:textFill>
            <w14:solidFill>
              <w14:schemeClr w14:val="tx1"/>
            </w14:solidFill>
          </w14:textFill>
        </w:rPr>
        <w:t>经费使用贯彻落实</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党中央八项规定</w:t>
      </w:r>
      <w:r>
        <w:rPr>
          <w:rFonts w:hint="eastAsia" w:ascii="Times New Roman" w:hAnsi="Times New Roman" w:eastAsia="仿宋_GB2312"/>
          <w:color w:val="000000" w:themeColor="text1"/>
          <w:sz w:val="32"/>
          <w:szCs w:val="32"/>
          <w:highlight w:val="none"/>
          <w14:textFill>
            <w14:solidFill>
              <w14:schemeClr w14:val="tx1"/>
            </w14:solidFill>
          </w14:textFill>
        </w:rPr>
        <w:t>和严格执行市直机关公务接待费管理</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办法</w:t>
      </w:r>
      <w:r>
        <w:rPr>
          <w:rFonts w:hint="eastAsia" w:ascii="Times New Roman" w:hAnsi="Times New Roman" w:eastAsia="仿宋_GB2312"/>
          <w:color w:val="000000" w:themeColor="text1"/>
          <w:sz w:val="32"/>
          <w:szCs w:val="32"/>
          <w:highlight w:val="none"/>
          <w14:textFill>
            <w14:solidFill>
              <w14:schemeClr w14:val="tx1"/>
            </w14:solidFill>
          </w14:textFill>
        </w:rPr>
        <w:t>规定。</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（三）公务用车购置及运行费。</w:t>
      </w:r>
      <w:r>
        <w:rPr>
          <w:rFonts w:ascii="Times New Roman" w:hAnsi="Times New Roman" w:eastAsia="仿宋_GB2312"/>
          <w:color w:val="000000" w:themeColor="text1"/>
          <w:sz w:val="32"/>
          <w:szCs w:val="32"/>
          <w:highlight w:val="none"/>
          <w14:textFill>
            <w14:solidFill>
              <w14:schemeClr w14:val="tx1"/>
            </w14:solidFill>
          </w14:textFill>
        </w:rPr>
        <w:t>支出预算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8</w:t>
      </w:r>
      <w:r>
        <w:rPr>
          <w:rFonts w:ascii="Times New Roman" w:hAnsi="Times New Roman" w:eastAsia="仿宋_GB2312"/>
          <w:color w:val="000000" w:themeColor="text1"/>
          <w:sz w:val="32"/>
          <w:szCs w:val="32"/>
          <w:highlight w:val="none"/>
          <w14:textFill>
            <w14:solidFill>
              <w14:schemeClr w14:val="tx1"/>
            </w14:solidFill>
          </w14:textFill>
        </w:rPr>
        <w:t>万元，与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2022年</w:t>
      </w:r>
      <w:r>
        <w:rPr>
          <w:rFonts w:ascii="Times New Roman" w:hAnsi="Times New Roman" w:eastAsia="仿宋_GB2312"/>
          <w:color w:val="000000" w:themeColor="text1"/>
          <w:sz w:val="32"/>
          <w:szCs w:val="32"/>
          <w:highlight w:val="none"/>
          <w14:textFill>
            <w14:solidFill>
              <w14:schemeClr w14:val="tx1"/>
            </w14:solidFill>
          </w14:textFill>
        </w:rPr>
        <w:t>相比持平</w:t>
      </w:r>
      <w:r>
        <w:rPr>
          <w:rFonts w:hint="eastAsia" w:ascii="Times New Roman" w:hAnsi="Times New Roman" w:eastAsia="仿宋_GB2312"/>
          <w:color w:val="000000" w:themeColor="text1"/>
          <w:sz w:val="32"/>
          <w:szCs w:val="32"/>
          <w:highlight w:val="none"/>
          <w14:textFill>
            <w14:solidFill>
              <w14:schemeClr w14:val="tx1"/>
            </w14:solidFill>
          </w14:textFill>
        </w:rPr>
        <w:t>，经费使用贯彻落实</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党中央八项规定</w:t>
      </w:r>
      <w:r>
        <w:rPr>
          <w:rFonts w:hint="eastAsia" w:ascii="Times New Roman" w:hAnsi="Times New Roman" w:eastAsia="仿宋_GB2312"/>
          <w:color w:val="000000" w:themeColor="text1"/>
          <w:sz w:val="32"/>
          <w:szCs w:val="32"/>
          <w:highlight w:val="none"/>
          <w14:textFill>
            <w14:solidFill>
              <w14:schemeClr w14:val="tx1"/>
            </w14:solidFill>
          </w14:textFill>
        </w:rPr>
        <w:t>和市委市政府20条要求。</w:t>
      </w:r>
      <w:r>
        <w:rPr>
          <w:rFonts w:ascii="Times New Roman" w:hAnsi="Times New Roman" w:eastAsia="仿宋_GB2312"/>
          <w:color w:val="000000" w:themeColor="text1"/>
          <w:sz w:val="32"/>
          <w:szCs w:val="32"/>
          <w:highlight w:val="none"/>
          <w14:textFill>
            <w14:solidFill>
              <w14:schemeClr w14:val="tx1"/>
            </w14:solidFill>
          </w14:textFill>
        </w:rPr>
        <w:t>其中：公务用车运行费</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8</w:t>
      </w:r>
      <w:r>
        <w:rPr>
          <w:rFonts w:ascii="Times New Roman" w:hAnsi="Times New Roman" w:eastAsia="仿宋_GB2312"/>
          <w:color w:val="000000" w:themeColor="text1"/>
          <w:sz w:val="32"/>
          <w:szCs w:val="32"/>
          <w:highlight w:val="none"/>
          <w14:textFill>
            <w14:solidFill>
              <w14:schemeClr w14:val="tx1"/>
            </w14:solidFill>
          </w14:textFill>
        </w:rPr>
        <w:t>万元，与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2022年</w:t>
      </w:r>
      <w:r>
        <w:rPr>
          <w:rFonts w:ascii="Times New Roman" w:hAnsi="Times New Roman" w:eastAsia="仿宋_GB2312"/>
          <w:color w:val="000000" w:themeColor="text1"/>
          <w:sz w:val="32"/>
          <w:szCs w:val="32"/>
          <w:highlight w:val="none"/>
          <w14:textFill>
            <w14:solidFill>
              <w14:schemeClr w14:val="tx1"/>
            </w14:solidFill>
          </w14:textFill>
        </w:rPr>
        <w:t>相比持平，主要原因是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2021年、2022年均为8万元</w:t>
      </w:r>
      <w:r>
        <w:rPr>
          <w:rFonts w:hint="eastAsia" w:ascii="Times New Roman" w:hAnsi="Times New Roman" w:eastAsia="仿宋_GB2312"/>
          <w:color w:val="000000" w:themeColor="text1"/>
          <w:sz w:val="32"/>
          <w:szCs w:val="32"/>
          <w:highlight w:val="none"/>
          <w14:textFill>
            <w14:solidFill>
              <w14:schemeClr w14:val="tx1"/>
            </w14:solidFill>
          </w14:textFill>
        </w:rPr>
        <w:t>,</w:t>
      </w:r>
      <w:r>
        <w:rPr>
          <w:rFonts w:ascii="Times New Roman" w:hAnsi="Times New Roman" w:eastAsia="仿宋_GB2312"/>
          <w:color w:val="000000" w:themeColor="text1"/>
          <w:sz w:val="32"/>
          <w:szCs w:val="32"/>
          <w:highlight w:val="none"/>
          <w14:textFill>
            <w14:solidFill>
              <w14:schemeClr w14:val="tx1"/>
            </w14:solidFill>
          </w14:textFill>
        </w:rPr>
        <w:t>主要用于</w:t>
      </w:r>
      <w:r>
        <w:rPr>
          <w:rFonts w:hint="eastAsia" w:ascii="Times New Roman" w:hAnsi="Times New Roman" w:eastAsia="仿宋_GB2312"/>
          <w:color w:val="000000" w:themeColor="text1"/>
          <w:sz w:val="32"/>
          <w:szCs w:val="32"/>
          <w:lang w:val="en-US" w:eastAsia="zh-CN"/>
          <w14:textFill>
            <w14:solidFill>
              <w14:schemeClr w14:val="tx1"/>
            </w14:solidFill>
          </w14:textFill>
        </w:rPr>
        <w:t>公车运行日常支出</w:t>
      </w:r>
      <w:r>
        <w:rPr>
          <w:rFonts w:ascii="Times New Roman" w:hAnsi="Times New Roman" w:eastAsia="仿宋_GB2312"/>
          <w:color w:val="000000" w:themeColor="text1"/>
          <w:sz w:val="32"/>
          <w:szCs w:val="32"/>
          <w:highlight w:val="none"/>
          <w14:textFill>
            <w14:solidFill>
              <w14:schemeClr w14:val="tx1"/>
            </w14:solidFill>
          </w14:textFill>
        </w:rPr>
        <w:t>。公务用车购置费</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0</w:t>
      </w:r>
      <w:r>
        <w:rPr>
          <w:rFonts w:ascii="Times New Roman" w:hAnsi="Times New Roman" w:eastAsia="仿宋_GB2312"/>
          <w:color w:val="000000" w:themeColor="text1"/>
          <w:sz w:val="32"/>
          <w:szCs w:val="32"/>
          <w:highlight w:val="none"/>
          <w14:textFill>
            <w14:solidFill>
              <w14:schemeClr w14:val="tx1"/>
            </w14:solidFill>
          </w14:textFill>
        </w:rPr>
        <w:t>万元，与</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2022年</w:t>
      </w:r>
      <w:r>
        <w:rPr>
          <w:rFonts w:ascii="Times New Roman" w:hAnsi="Times New Roman" w:eastAsia="仿宋_GB2312"/>
          <w:color w:val="000000" w:themeColor="text1"/>
          <w:sz w:val="32"/>
          <w:szCs w:val="32"/>
          <w:highlight w:val="none"/>
          <w14:textFill>
            <w14:solidFill>
              <w14:schemeClr w14:val="tx1"/>
            </w14:solidFill>
          </w14:textFill>
        </w:rPr>
        <w:t>相比持平，主要原因是</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年均未安排</w:t>
      </w:r>
      <w:r>
        <w:rPr>
          <w:rFonts w:ascii="Times New Roman" w:hAnsi="Times New Roman" w:eastAsia="仿宋_GB2312"/>
          <w:color w:val="000000" w:themeColor="text1"/>
          <w:sz w:val="32"/>
          <w:szCs w:val="32"/>
          <w14:textFill>
            <w14:solidFill>
              <w14:schemeClr w14:val="tx1"/>
            </w14:solidFill>
          </w14:textFill>
        </w:rPr>
        <w:t>公务用车购置费</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用于购置机要通信用车</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辆、应急保障用车</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辆、其他按照规定配备的公务用车</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辆、执法执勤用车</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辆、特种专业技术用车</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辆。</w:t>
      </w:r>
    </w:p>
    <w:p>
      <w:pPr>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jc w:val="both"/>
        <w:textAlignment w:val="auto"/>
        <w:rPr>
          <w:rFonts w:ascii="Times New Roman" w:hAnsi="Times New Roman" w:eastAsia="黑体"/>
          <w:color w:val="000000" w:themeColor="text1"/>
          <w:sz w:val="32"/>
          <w:szCs w:val="32"/>
          <w:highlight w:val="none"/>
          <w14:textFill>
            <w14:solidFill>
              <w14:schemeClr w14:val="tx1"/>
            </w14:solidFill>
          </w14:textFill>
        </w:rPr>
      </w:pPr>
      <w:r>
        <w:rPr>
          <w:rFonts w:hint="eastAsia" w:ascii="Times New Roman" w:hAnsi="Times New Roman" w:eastAsia="黑体"/>
          <w:color w:val="000000" w:themeColor="text1"/>
          <w:sz w:val="32"/>
          <w:szCs w:val="32"/>
          <w:highlight w:val="none"/>
          <w14:textFill>
            <w14:solidFill>
              <w14:schemeClr w14:val="tx1"/>
            </w14:solidFill>
          </w14:textFill>
        </w:rPr>
        <w:t>其他</w:t>
      </w:r>
      <w:r>
        <w:rPr>
          <w:rFonts w:ascii="Times New Roman" w:hAnsi="Times New Roman" w:eastAsia="黑体"/>
          <w:color w:val="000000" w:themeColor="text1"/>
          <w:sz w:val="32"/>
          <w:szCs w:val="32"/>
          <w:highlight w:val="none"/>
          <w14:textFill>
            <w14:solidFill>
              <w14:schemeClr w14:val="tx1"/>
            </w14:solidFill>
          </w14:textFill>
        </w:rPr>
        <w:t>重要事项情况说明</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（一）项目绩效目标编制情况</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kern w:val="0"/>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kern w:val="0"/>
          <w:sz w:val="32"/>
          <w:szCs w:val="32"/>
          <w:highlight w:val="none"/>
          <w14:textFill>
            <w14:solidFill>
              <w14:schemeClr w14:val="tx1"/>
            </w14:solidFill>
          </w14:textFill>
        </w:rPr>
        <w:t>编制项目</w:t>
      </w:r>
      <w:r>
        <w:rPr>
          <w:rFonts w:ascii="Times New Roman" w:hAnsi="Times New Roman" w:eastAsia="仿宋_GB2312"/>
          <w:color w:val="000000" w:themeColor="text1"/>
          <w:kern w:val="0"/>
          <w:sz w:val="32"/>
          <w:szCs w:val="32"/>
          <w:highlight w:val="none"/>
          <w14:textFill>
            <w14:solidFill>
              <w14:schemeClr w14:val="tx1"/>
            </w14:solidFill>
          </w14:textFill>
        </w:rPr>
        <w:t>绩效目标</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olor w:val="000000" w:themeColor="text1"/>
          <w:kern w:val="0"/>
          <w:sz w:val="32"/>
          <w:szCs w:val="32"/>
          <w:highlight w:val="none"/>
          <w14:textFill>
            <w14:solidFill>
              <w14:schemeClr w14:val="tx1"/>
            </w14:solidFill>
          </w14:textFill>
        </w:rPr>
        <w:t>个</w:t>
      </w:r>
      <w:r>
        <w:rPr>
          <w:rFonts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color w:val="000000" w:themeColor="text1"/>
          <w:sz w:val="32"/>
          <w:szCs w:val="32"/>
          <w:highlight w:val="none"/>
          <w14:textFill>
            <w14:solidFill>
              <w14:schemeClr w14:val="tx1"/>
            </w14:solidFill>
          </w14:textFill>
        </w:rPr>
        <w:t>预算资金</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178.62</w:t>
      </w:r>
      <w:r>
        <w:rPr>
          <w:rFonts w:ascii="Times New Roman" w:hAnsi="Times New Roman" w:eastAsia="仿宋_GB2312"/>
          <w:color w:val="000000" w:themeColor="text1"/>
          <w:sz w:val="32"/>
          <w:szCs w:val="32"/>
          <w:highlight w:val="none"/>
          <w14:textFill>
            <w14:solidFill>
              <w14:schemeClr w14:val="tx1"/>
            </w14:solidFill>
          </w14:textFill>
        </w:rPr>
        <w:t>万元</w:t>
      </w:r>
      <w:r>
        <w:rPr>
          <w:rFonts w:hint="eastAsia" w:ascii="Times New Roman" w:hAnsi="Times New Roman" w:eastAsia="仿宋_GB2312"/>
          <w:color w:val="000000" w:themeColor="text1"/>
          <w:sz w:val="32"/>
          <w:szCs w:val="32"/>
          <w:highlight w:val="none"/>
          <w14:textFill>
            <w14:solidFill>
              <w14:schemeClr w14:val="tx1"/>
            </w14:solidFill>
          </w14:textFill>
        </w:rPr>
        <w:t>。绩效目标包括总体目标和绩效指标，总体目标是项目预期产出和效益的总体描述，绩效指标是总体目标的细化和量化。绩效指标统一按照三级设置，一级指标分为产出指标、效益指标两大类，二级指标分为数量指标、质量指标、时效指标、成本指标（均属于产出指标）和经济效益、社会效益、生态效益、可持续影响指标、满意度指标（均属于效益指标），三级指标结合项目实际，明确具体指标和指标值。</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（二）机关运行经费。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ascii="Times New Roman" w:hAnsi="Times New Roman" w:eastAsia="仿宋_GB2312"/>
          <w:color w:val="000000" w:themeColor="text1"/>
          <w:sz w:val="32"/>
          <w:szCs w:val="32"/>
          <w:highlight w:val="none"/>
          <w14:textFill>
            <w14:solidFill>
              <w14:schemeClr w14:val="tx1"/>
            </w14:solidFill>
          </w14:textFill>
        </w:rPr>
        <w:t>系非参公事业单位，无机关运行经费。</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ascii="Times New Roman" w:hAnsi="Times New Roman" w:eastAsia="仿宋_GB2312"/>
          <w:color w:val="000000" w:themeColor="text1"/>
          <w:sz w:val="32"/>
          <w:szCs w:val="32"/>
          <w:highlight w:val="none"/>
          <w:u w:val="none"/>
          <w14:textFill>
            <w14:solidFill>
              <w14:schemeClr w14:val="tx1"/>
            </w14:solidFill>
          </w14:textFill>
        </w:rPr>
        <w:t>本</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单位</w:t>
      </w:r>
      <w:r>
        <w:rPr>
          <w:rFonts w:ascii="Times New Roman" w:hAnsi="Times New Roman" w:eastAsia="仿宋_GB2312"/>
          <w:color w:val="000000" w:themeColor="text1"/>
          <w:sz w:val="32"/>
          <w:szCs w:val="32"/>
          <w:highlight w:val="none"/>
          <w14:textFill>
            <w14:solidFill>
              <w14:schemeClr w14:val="tx1"/>
            </w14:solidFill>
          </w14:textFill>
        </w:rPr>
        <w:t>运行经费财政拨款预算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165.35</w:t>
      </w:r>
      <w:r>
        <w:rPr>
          <w:rFonts w:ascii="Times New Roman" w:hAnsi="Times New Roman" w:eastAsia="仿宋_GB2312"/>
          <w:color w:val="000000" w:themeColor="text1"/>
          <w:kern w:val="0"/>
          <w:sz w:val="32"/>
          <w:szCs w:val="32"/>
          <w:highlight w:val="none"/>
          <w14:textFill>
            <w14:solidFill>
              <w14:schemeClr w14:val="tx1"/>
            </w14:solidFill>
          </w14:textFill>
        </w:rPr>
        <w:t>万元，</w:t>
      </w:r>
      <w:r>
        <w:rPr>
          <w:rFonts w:hint="eastAsia" w:ascii="Times New Roman" w:hAnsi="Times New Roman" w:eastAsia="仿宋_GB2312"/>
          <w:color w:val="000000" w:themeColor="text1"/>
          <w:kern w:val="0"/>
          <w:sz w:val="32"/>
          <w:szCs w:val="32"/>
          <w:highlight w:val="none"/>
          <w:lang w:eastAsia="zh-CN"/>
          <w14:textFill>
            <w14:solidFill>
              <w14:schemeClr w14:val="tx1"/>
            </w14:solidFill>
          </w14:textFill>
        </w:rPr>
        <w:t>较2022年</w:t>
      </w:r>
      <w:r>
        <w:rPr>
          <w:rFonts w:ascii="Times New Roman" w:hAnsi="Times New Roman" w:eastAsia="仿宋_GB2312"/>
          <w:color w:val="000000" w:themeColor="text1"/>
          <w:kern w:val="0"/>
          <w:sz w:val="32"/>
          <w:szCs w:val="32"/>
          <w:highlight w:val="none"/>
          <w14:textFill>
            <w14:solidFill>
              <w14:schemeClr w14:val="tx1"/>
            </w14:solidFill>
          </w14:textFill>
        </w:rPr>
        <w:t>增加</w:t>
      </w:r>
      <w:r>
        <w:rPr>
          <w:rFonts w:hint="eastAsia" w:ascii="Times New Roman" w:hAnsi="Times New Roman" w:eastAsia="仿宋_GB2312"/>
          <w:color w:val="000000" w:themeColor="text1"/>
          <w:kern w:val="0"/>
          <w:sz w:val="32"/>
          <w:szCs w:val="32"/>
          <w:highlight w:val="none"/>
          <w:lang w:val="en-US" w:eastAsia="zh-CN"/>
          <w14:textFill>
            <w14:solidFill>
              <w14:schemeClr w14:val="tx1"/>
            </w14:solidFill>
          </w14:textFill>
        </w:rPr>
        <w:t>9.8</w:t>
      </w:r>
      <w:r>
        <w:rPr>
          <w:rFonts w:ascii="Times New Roman" w:hAnsi="Times New Roman" w:eastAsia="仿宋_GB2312"/>
          <w:color w:val="000000" w:themeColor="text1"/>
          <w:sz w:val="32"/>
          <w:szCs w:val="32"/>
          <w:highlight w:val="none"/>
          <w14:textFill>
            <w14:solidFill>
              <w14:schemeClr w14:val="tx1"/>
            </w14:solidFill>
          </w14:textFill>
        </w:rPr>
        <w:t>万元，增长</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6.3</w:t>
      </w:r>
      <w:r>
        <w:rPr>
          <w:rFonts w:ascii="Times New Roman" w:hAnsi="Times New Roman" w:eastAsia="仿宋_GB2312"/>
          <w:color w:val="000000" w:themeColor="text1"/>
          <w:sz w:val="32"/>
          <w:szCs w:val="32"/>
          <w:highlight w:val="none"/>
          <w14:textFill>
            <w14:solidFill>
              <w14:schemeClr w14:val="tx1"/>
            </w14:solidFill>
          </w14:textFill>
        </w:rPr>
        <w:t>%，增长主要原因是</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电费增加</w:t>
      </w:r>
      <w:r>
        <w:rPr>
          <w:rFonts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（三）政府采购情况。</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楷体"/>
          <w:color w:val="000000" w:themeColor="text1"/>
          <w:kern w:val="0"/>
          <w:sz w:val="32"/>
          <w:szCs w:val="32"/>
          <w:highlight w:val="none"/>
          <w14:textFill>
            <w14:solidFill>
              <w14:schemeClr w14:val="tx1"/>
            </w14:solidFill>
          </w14:textFill>
        </w:rPr>
      </w:pPr>
      <w:r>
        <w:rPr>
          <w:rFonts w:hint="eastAsia" w:ascii="Times New Roman" w:hAnsi="Times New Roman" w:eastAsia="仿宋_GB2312"/>
          <w:color w:val="000000" w:themeColor="text1"/>
          <w:kern w:val="0"/>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ascii="Times New Roman" w:hAnsi="Times New Roman" w:eastAsia="仿宋_GB2312"/>
          <w:color w:val="000000" w:themeColor="text1"/>
          <w:kern w:val="0"/>
          <w:sz w:val="32"/>
          <w:szCs w:val="32"/>
          <w:highlight w:val="none"/>
          <w14:textFill>
            <w14:solidFill>
              <w14:schemeClr w14:val="tx1"/>
            </w14:solidFill>
          </w14:textFill>
        </w:rPr>
        <w:t>政府采购预算总额</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88.02</w:t>
      </w:r>
      <w:r>
        <w:rPr>
          <w:rFonts w:ascii="Times New Roman" w:hAnsi="Times New Roman" w:eastAsia="仿宋_GB2312"/>
          <w:color w:val="000000" w:themeColor="text1"/>
          <w:kern w:val="0"/>
          <w:sz w:val="32"/>
          <w:szCs w:val="32"/>
          <w:highlight w:val="none"/>
          <w14:textFill>
            <w14:solidFill>
              <w14:schemeClr w14:val="tx1"/>
            </w14:solidFill>
          </w14:textFill>
        </w:rPr>
        <w:t>万元，其中：政府采购货物预算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53.02</w:t>
      </w:r>
      <w:r>
        <w:rPr>
          <w:rFonts w:ascii="Times New Roman" w:hAnsi="Times New Roman" w:eastAsia="仿宋_GB2312"/>
          <w:color w:val="000000" w:themeColor="text1"/>
          <w:kern w:val="0"/>
          <w:sz w:val="32"/>
          <w:szCs w:val="32"/>
          <w:highlight w:val="none"/>
          <w14:textFill>
            <w14:solidFill>
              <w14:schemeClr w14:val="tx1"/>
            </w14:solidFill>
          </w14:textFill>
        </w:rPr>
        <w:t>万元、政府采购服务预算</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35</w:t>
      </w:r>
      <w:r>
        <w:rPr>
          <w:rFonts w:ascii="Times New Roman" w:hAnsi="Times New Roman" w:eastAsia="仿宋_GB2312"/>
          <w:color w:val="000000" w:themeColor="text1"/>
          <w:kern w:val="0"/>
          <w:sz w:val="32"/>
          <w:szCs w:val="32"/>
          <w:highlight w:val="none"/>
          <w14:textFill>
            <w14:solidFill>
              <w14:schemeClr w14:val="tx1"/>
            </w14:solidFill>
          </w14:textFill>
        </w:rPr>
        <w:t>万元。</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楷体_GB2312" w:hAnsi="楷体_GB2312" w:eastAsia="楷体_GB2312" w:cs="楷体_GB2312"/>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color w:val="000000" w:themeColor="text1"/>
          <w:sz w:val="32"/>
          <w:szCs w:val="32"/>
          <w:highlight w:val="none"/>
          <w14:textFill>
            <w14:solidFill>
              <w14:schemeClr w14:val="tx1"/>
            </w14:solidFill>
          </w14:textFill>
        </w:rPr>
        <w:t>（四）国有资产占有使用情况。</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截至</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2022年</w:t>
      </w:r>
      <w:r>
        <w:rPr>
          <w:rFonts w:ascii="Times New Roman" w:hAnsi="Times New Roman" w:eastAsia="仿宋_GB2312"/>
          <w:color w:val="000000" w:themeColor="text1"/>
          <w:sz w:val="32"/>
          <w:szCs w:val="32"/>
          <w:highlight w:val="none"/>
          <w14:textFill>
            <w14:solidFill>
              <w14:schemeClr w14:val="tx1"/>
            </w14:solidFill>
          </w14:textFill>
        </w:rPr>
        <w:t>12月，</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ascii="Times New Roman" w:hAnsi="Times New Roman" w:eastAsia="仿宋_GB2312"/>
          <w:color w:val="000000" w:themeColor="text1"/>
          <w:sz w:val="32"/>
          <w:szCs w:val="32"/>
          <w:highlight w:val="none"/>
          <w14:textFill>
            <w14:solidFill>
              <w14:schemeClr w14:val="tx1"/>
            </w14:solidFill>
          </w14:textFill>
        </w:rPr>
        <w:t>固定资产总金额</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5820.93</w:t>
      </w:r>
      <w:r>
        <w:rPr>
          <w:rFonts w:ascii="Times New Roman" w:hAnsi="Times New Roman" w:eastAsia="仿宋_GB2312"/>
          <w:color w:val="000000" w:themeColor="text1"/>
          <w:sz w:val="32"/>
          <w:szCs w:val="32"/>
          <w:highlight w:val="none"/>
          <w14:textFill>
            <w14:solidFill>
              <w14:schemeClr w14:val="tx1"/>
            </w14:solidFill>
          </w14:textFill>
        </w:rPr>
        <w:t>万元，较上年增加</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518.13</w:t>
      </w:r>
      <w:r>
        <w:rPr>
          <w:rFonts w:ascii="Times New Roman" w:hAnsi="Times New Roman" w:eastAsia="仿宋_GB2312"/>
          <w:color w:val="000000" w:themeColor="text1"/>
          <w:sz w:val="32"/>
          <w:szCs w:val="32"/>
          <w:highlight w:val="none"/>
          <w14:textFill>
            <w14:solidFill>
              <w14:schemeClr w14:val="tx1"/>
            </w14:solidFill>
          </w14:textFill>
        </w:rPr>
        <w:t>万元，其中，土地、房屋及构筑物</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0</w:t>
      </w:r>
      <w:r>
        <w:rPr>
          <w:rFonts w:ascii="Times New Roman" w:hAnsi="Times New Roman" w:eastAsia="仿宋_GB2312"/>
          <w:color w:val="000000" w:themeColor="text1"/>
          <w:sz w:val="32"/>
          <w:szCs w:val="32"/>
          <w:highlight w:val="none"/>
          <w14:textFill>
            <w14:solidFill>
              <w14:schemeClr w14:val="tx1"/>
            </w14:solidFill>
          </w14:textFill>
        </w:rPr>
        <w:t>万元、通用设备</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1288.6</w:t>
      </w:r>
      <w:r>
        <w:rPr>
          <w:rFonts w:ascii="Times New Roman" w:hAnsi="Times New Roman" w:eastAsia="仿宋_GB2312"/>
          <w:color w:val="000000" w:themeColor="text1"/>
          <w:sz w:val="32"/>
          <w:szCs w:val="32"/>
          <w:highlight w:val="none"/>
          <w14:textFill>
            <w14:solidFill>
              <w14:schemeClr w14:val="tx1"/>
            </w14:solidFill>
          </w14:textFill>
        </w:rPr>
        <w:t>万元、专用设备</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4470.6</w:t>
      </w:r>
      <w:r>
        <w:rPr>
          <w:rFonts w:ascii="Times New Roman" w:hAnsi="Times New Roman" w:eastAsia="仿宋_GB2312"/>
          <w:color w:val="000000" w:themeColor="text1"/>
          <w:sz w:val="32"/>
          <w:szCs w:val="32"/>
          <w:highlight w:val="none"/>
          <w14:textFill>
            <w14:solidFill>
              <w14:schemeClr w14:val="tx1"/>
            </w14:solidFill>
          </w14:textFill>
        </w:rPr>
        <w:t>万元、其他资产</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61.73</w:t>
      </w:r>
      <w:r>
        <w:rPr>
          <w:rFonts w:ascii="Times New Roman" w:hAnsi="Times New Roman" w:eastAsia="仿宋_GB2312"/>
          <w:color w:val="000000" w:themeColor="text1"/>
          <w:sz w:val="32"/>
          <w:szCs w:val="32"/>
          <w:highlight w:val="none"/>
          <w14:textFill>
            <w14:solidFill>
              <w14:schemeClr w14:val="tx1"/>
            </w14:solidFill>
          </w14:textFill>
        </w:rPr>
        <w:t>万元。</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单位</w:t>
      </w:r>
      <w:r>
        <w:rPr>
          <w:rFonts w:ascii="Times New Roman" w:hAnsi="Times New Roman" w:eastAsia="仿宋_GB2312"/>
          <w:color w:val="000000" w:themeColor="text1"/>
          <w:sz w:val="32"/>
          <w:szCs w:val="32"/>
          <w:highlight w:val="none"/>
          <w14:textFill>
            <w14:solidFill>
              <w14:schemeClr w14:val="tx1"/>
            </w14:solidFill>
          </w14:textFill>
        </w:rPr>
        <w:t>车改后保留车辆</w:t>
      </w:r>
      <w:r>
        <w:rPr>
          <w:rFonts w:ascii="Times New Roman" w:hAnsi="Times New Roman" w:eastAsia="仿宋_GB2312"/>
          <w:color w:val="000000" w:themeColor="text1"/>
          <w:sz w:val="32"/>
          <w:szCs w:val="32"/>
          <w:highlight w:val="none"/>
          <w:u w:val="none"/>
          <w14:textFill>
            <w14:solidFill>
              <w14:schemeClr w14:val="tx1"/>
            </w14:solidFill>
          </w14:textFill>
        </w:rPr>
        <w:t xml:space="preserve"> </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10</w:t>
      </w:r>
      <w:r>
        <w:rPr>
          <w:rFonts w:ascii="Times New Roman" w:hAnsi="Times New Roman" w:eastAsia="仿宋_GB2312"/>
          <w:color w:val="000000" w:themeColor="text1"/>
          <w:sz w:val="32"/>
          <w:szCs w:val="32"/>
          <w:highlight w:val="none"/>
          <w:u w:val="none"/>
          <w14:textFill>
            <w14:solidFill>
              <w14:schemeClr w14:val="tx1"/>
            </w14:solidFill>
          </w14:textFill>
        </w:rPr>
        <w:t xml:space="preserve"> 辆，其中</w:t>
      </w:r>
      <w:r>
        <w:rPr>
          <w:rFonts w:hint="eastAsia" w:ascii="Times New Roman" w:hAnsi="Times New Roman" w:eastAsia="仿宋_GB2312"/>
          <w:color w:val="000000" w:themeColor="text1"/>
          <w:sz w:val="32"/>
          <w:szCs w:val="32"/>
          <w:highlight w:val="none"/>
          <w:u w:val="none"/>
          <w:lang w:eastAsia="zh-CN"/>
          <w14:textFill>
            <w14:solidFill>
              <w14:schemeClr w14:val="tx1"/>
            </w14:solidFill>
          </w14:textFill>
        </w:rPr>
        <w:t>：</w:t>
      </w:r>
      <w:r>
        <w:rPr>
          <w:rFonts w:hint="eastAsia" w:ascii="Times New Roman" w:hAnsi="Times New Roman" w:eastAsia="仿宋_GB2312"/>
          <w:color w:val="000000" w:themeColor="text1"/>
          <w:sz w:val="32"/>
          <w:szCs w:val="32"/>
          <w:highlight w:val="none"/>
          <w:u w:val="none"/>
          <w14:textFill>
            <w14:solidFill>
              <w14:schemeClr w14:val="tx1"/>
            </w14:solidFill>
          </w14:textFill>
        </w:rPr>
        <w:t>应急保障用车</w:t>
      </w:r>
      <w:r>
        <w:rPr>
          <w:rFonts w:hint="eastAsia" w:ascii="仿宋" w:hAnsi="仿宋" w:eastAsia="仿宋"/>
          <w:color w:val="000000" w:themeColor="text1"/>
          <w:kern w:val="0"/>
          <w:sz w:val="32"/>
          <w:szCs w:val="32"/>
          <w:highlight w:val="none"/>
          <w:u w:val="none"/>
          <w14:textFill>
            <w14:solidFill>
              <w14:schemeClr w14:val="tx1"/>
            </w14:solidFill>
          </w14:textFill>
        </w:rPr>
        <w:t xml:space="preserve"> </w:t>
      </w:r>
      <w:r>
        <w:rPr>
          <w:rFonts w:hint="eastAsia" w:ascii="仿宋" w:hAnsi="仿宋" w:eastAsia="仿宋"/>
          <w:color w:val="000000" w:themeColor="text1"/>
          <w:kern w:val="0"/>
          <w:sz w:val="32"/>
          <w:szCs w:val="32"/>
          <w:highlight w:val="none"/>
          <w:u w:val="none"/>
          <w:lang w:val="en-US" w:eastAsia="zh-CN"/>
          <w14:textFill>
            <w14:solidFill>
              <w14:schemeClr w14:val="tx1"/>
            </w14:solidFill>
          </w14:textFill>
        </w:rPr>
        <w:t>7</w:t>
      </w:r>
      <w:r>
        <w:rPr>
          <w:rFonts w:hint="eastAsia" w:ascii="仿宋" w:hAnsi="仿宋" w:eastAsia="仿宋"/>
          <w:color w:val="000000" w:themeColor="text1"/>
          <w:kern w:val="0"/>
          <w:sz w:val="32"/>
          <w:szCs w:val="32"/>
          <w:highlight w:val="none"/>
          <w:u w:val="none"/>
          <w14:textFill>
            <w14:solidFill>
              <w14:schemeClr w14:val="tx1"/>
            </w14:solidFill>
          </w14:textFill>
        </w:rPr>
        <w:t xml:space="preserve"> </w:t>
      </w:r>
      <w:r>
        <w:rPr>
          <w:rFonts w:hint="eastAsia" w:ascii="Times New Roman" w:hAnsi="Times New Roman" w:eastAsia="仿宋_GB2312"/>
          <w:color w:val="000000" w:themeColor="text1"/>
          <w:sz w:val="32"/>
          <w:szCs w:val="32"/>
          <w:highlight w:val="none"/>
          <w:u w:val="none"/>
          <w14:textFill>
            <w14:solidFill>
              <w14:schemeClr w14:val="tx1"/>
            </w14:solidFill>
          </w14:textFill>
        </w:rPr>
        <w:t>辆、特种专业技术用车</w:t>
      </w:r>
      <w:r>
        <w:rPr>
          <w:rFonts w:hint="eastAsia" w:ascii="仿宋" w:hAnsi="仿宋" w:eastAsia="仿宋"/>
          <w:color w:val="000000" w:themeColor="text1"/>
          <w:kern w:val="0"/>
          <w:sz w:val="32"/>
          <w:szCs w:val="32"/>
          <w:highlight w:val="none"/>
          <w:u w:val="none"/>
          <w14:textFill>
            <w14:solidFill>
              <w14:schemeClr w14:val="tx1"/>
            </w14:solidFill>
          </w14:textFill>
        </w:rPr>
        <w:t xml:space="preserve"> </w:t>
      </w:r>
      <w:r>
        <w:rPr>
          <w:rFonts w:hint="eastAsia" w:ascii="仿宋" w:hAnsi="仿宋" w:eastAsia="仿宋"/>
          <w:color w:val="000000" w:themeColor="text1"/>
          <w:kern w:val="0"/>
          <w:sz w:val="32"/>
          <w:szCs w:val="32"/>
          <w:highlight w:val="none"/>
          <w:u w:val="none"/>
          <w:lang w:val="en-US" w:eastAsia="zh-CN"/>
          <w14:textFill>
            <w14:solidFill>
              <w14:schemeClr w14:val="tx1"/>
            </w14:solidFill>
          </w14:textFill>
        </w:rPr>
        <w:t>3</w:t>
      </w:r>
      <w:r>
        <w:rPr>
          <w:rFonts w:hint="eastAsia" w:ascii="仿宋" w:hAnsi="仿宋" w:eastAsia="仿宋"/>
          <w:color w:val="000000" w:themeColor="text1"/>
          <w:kern w:val="0"/>
          <w:sz w:val="32"/>
          <w:szCs w:val="32"/>
          <w:highlight w:val="none"/>
          <w:u w:val="none"/>
          <w14:textFill>
            <w14:solidFill>
              <w14:schemeClr w14:val="tx1"/>
            </w14:solidFill>
          </w14:textFill>
        </w:rPr>
        <w:t xml:space="preserve"> </w:t>
      </w:r>
      <w:r>
        <w:rPr>
          <w:rFonts w:hint="eastAsia" w:ascii="Times New Roman" w:hAnsi="Times New Roman" w:eastAsia="仿宋_GB2312"/>
          <w:color w:val="000000" w:themeColor="text1"/>
          <w:sz w:val="32"/>
          <w:szCs w:val="32"/>
          <w:highlight w:val="none"/>
          <w:u w:val="none"/>
          <w14:textFill>
            <w14:solidFill>
              <w14:schemeClr w14:val="tx1"/>
            </w14:solidFill>
          </w14:textFill>
        </w:rPr>
        <w:t>辆</w:t>
      </w:r>
      <w:r>
        <w:rPr>
          <w:rFonts w:hint="eastAsia" w:ascii="Times New Roman" w:hAnsi="Times New Roman"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u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单位价值50万元以上的通用设备有</w:t>
      </w:r>
      <w:r>
        <w:rPr>
          <w:rFonts w:ascii="Times New Roman" w:hAnsi="Times New Roman" w:eastAsia="仿宋_GB2312"/>
          <w:color w:val="000000" w:themeColor="text1"/>
          <w:sz w:val="32"/>
          <w:szCs w:val="32"/>
          <w:highlight w:val="none"/>
          <w:u w:val="none"/>
          <w14:textFill>
            <w14:solidFill>
              <w14:schemeClr w14:val="tx1"/>
            </w14:solidFill>
          </w14:textFill>
        </w:rPr>
        <w:t xml:space="preserve"> </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6</w:t>
      </w:r>
      <w:r>
        <w:rPr>
          <w:rFonts w:ascii="Times New Roman" w:hAnsi="Times New Roman" w:eastAsia="仿宋_GB2312"/>
          <w:color w:val="000000" w:themeColor="text1"/>
          <w:sz w:val="32"/>
          <w:szCs w:val="32"/>
          <w:highlight w:val="none"/>
          <w:u w:val="none"/>
          <w14:textFill>
            <w14:solidFill>
              <w14:schemeClr w14:val="tx1"/>
            </w14:solidFill>
          </w14:textFill>
        </w:rPr>
        <w:t xml:space="preserve"> 台，单位价值100万元以上的专用设备有 </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6</w:t>
      </w:r>
      <w:r>
        <w:rPr>
          <w:rFonts w:ascii="Times New Roman" w:hAnsi="Times New Roman" w:eastAsia="仿宋_GB2312"/>
          <w:color w:val="000000" w:themeColor="text1"/>
          <w:sz w:val="32"/>
          <w:szCs w:val="32"/>
          <w:highlight w:val="none"/>
          <w:u w:val="none"/>
          <w14:textFill>
            <w14:solidFill>
              <w14:schemeClr w14:val="tx1"/>
            </w14:solidFill>
          </w14:textFill>
        </w:rPr>
        <w:t xml:space="preserve"> 台。 </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u w:val="none"/>
          <w14:textFill>
            <w14:solidFill>
              <w14:schemeClr w14:val="tx1"/>
            </w14:solidFill>
          </w14:textFill>
        </w:rPr>
      </w:pPr>
      <w:r>
        <w:rPr>
          <w:rFonts w:hint="eastAsia" w:ascii="Times New Roman" w:hAnsi="Times New Roman" w:eastAsia="仿宋_GB2312"/>
          <w:color w:val="000000" w:themeColor="text1"/>
          <w:kern w:val="0"/>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kern w:val="0"/>
          <w:sz w:val="32"/>
          <w:szCs w:val="32"/>
          <w:highlight w:val="none"/>
          <w:u w:val="none"/>
          <w:lang w:eastAsia="zh-CN"/>
          <w14:textFill>
            <w14:solidFill>
              <w14:schemeClr w14:val="tx1"/>
            </w14:solidFill>
          </w14:textFill>
        </w:rPr>
        <w:t>单位</w:t>
      </w:r>
      <w:r>
        <w:rPr>
          <w:rFonts w:ascii="Times New Roman" w:hAnsi="Times New Roman" w:eastAsia="仿宋_GB2312"/>
          <w:color w:val="000000" w:themeColor="text1"/>
          <w:kern w:val="0"/>
          <w:sz w:val="32"/>
          <w:szCs w:val="32"/>
          <w:highlight w:val="none"/>
          <w:u w:val="none"/>
          <w14:textFill>
            <w14:solidFill>
              <w14:schemeClr w14:val="tx1"/>
            </w14:solidFill>
          </w14:textFill>
        </w:rPr>
        <w:t xml:space="preserve">预算安排购置车辆 </w:t>
      </w:r>
      <w:r>
        <w:rPr>
          <w:rFonts w:hint="eastAsia" w:ascii="Times New Roman" w:hAnsi="Times New Roman" w:eastAsia="仿宋_GB2312"/>
          <w:color w:val="000000" w:themeColor="text1"/>
          <w:kern w:val="0"/>
          <w:sz w:val="32"/>
          <w:szCs w:val="32"/>
          <w:highlight w:val="none"/>
          <w:u w:val="none"/>
          <w:lang w:val="en-US" w:eastAsia="zh-CN"/>
          <w14:textFill>
            <w14:solidFill>
              <w14:schemeClr w14:val="tx1"/>
            </w14:solidFill>
          </w14:textFill>
        </w:rPr>
        <w:t>0</w:t>
      </w:r>
      <w:r>
        <w:rPr>
          <w:rFonts w:ascii="Times New Roman" w:hAnsi="Times New Roman" w:eastAsia="仿宋_GB2312"/>
          <w:color w:val="000000" w:themeColor="text1"/>
          <w:kern w:val="0"/>
          <w:sz w:val="32"/>
          <w:szCs w:val="32"/>
          <w:highlight w:val="none"/>
          <w:u w:val="none"/>
          <w14:textFill>
            <w14:solidFill>
              <w14:schemeClr w14:val="tx1"/>
            </w14:solidFill>
          </w14:textFill>
        </w:rPr>
        <w:t xml:space="preserve"> 辆，购置费</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0</w:t>
      </w:r>
      <w:r>
        <w:rPr>
          <w:rFonts w:ascii="Times New Roman" w:hAnsi="Times New Roman" w:eastAsia="仿宋_GB2312"/>
          <w:color w:val="000000" w:themeColor="text1"/>
          <w:sz w:val="32"/>
          <w:szCs w:val="32"/>
          <w:highlight w:val="none"/>
          <w:u w:val="none"/>
          <w14:textFill>
            <w14:solidFill>
              <w14:schemeClr w14:val="tx1"/>
            </w14:solidFill>
          </w14:textFill>
        </w:rPr>
        <w:t>万元。</w:t>
      </w:r>
    </w:p>
    <w:p>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kern w:val="0"/>
          <w:sz w:val="32"/>
          <w:szCs w:val="32"/>
          <w:highlight w:val="none"/>
          <w:u w:val="none"/>
          <w:lang w:eastAsia="zh-CN"/>
          <w14:textFill>
            <w14:solidFill>
              <w14:schemeClr w14:val="tx1"/>
            </w14:solidFill>
          </w14:textFill>
        </w:rPr>
        <w:t>2023年单位</w:t>
      </w:r>
      <w:r>
        <w:rPr>
          <w:rFonts w:ascii="Times New Roman" w:hAnsi="Times New Roman" w:eastAsia="仿宋_GB2312"/>
          <w:color w:val="000000" w:themeColor="text1"/>
          <w:kern w:val="0"/>
          <w:sz w:val="32"/>
          <w:szCs w:val="32"/>
          <w:highlight w:val="none"/>
          <w:u w:val="none"/>
          <w14:textFill>
            <w14:solidFill>
              <w14:schemeClr w14:val="tx1"/>
            </w14:solidFill>
          </w14:textFill>
        </w:rPr>
        <w:t xml:space="preserve">预算安排购置单位价值50万元以上的通用设备 </w:t>
      </w:r>
      <w:r>
        <w:rPr>
          <w:rFonts w:hint="eastAsia" w:ascii="Times New Roman" w:hAnsi="Times New Roman" w:eastAsia="仿宋_GB2312"/>
          <w:color w:val="000000" w:themeColor="text1"/>
          <w:kern w:val="0"/>
          <w:sz w:val="32"/>
          <w:szCs w:val="32"/>
          <w:highlight w:val="none"/>
          <w:u w:val="none"/>
          <w:lang w:val="en-US" w:eastAsia="zh-CN"/>
          <w14:textFill>
            <w14:solidFill>
              <w14:schemeClr w14:val="tx1"/>
            </w14:solidFill>
          </w14:textFill>
        </w:rPr>
        <w:t>0</w:t>
      </w:r>
      <w:r>
        <w:rPr>
          <w:rFonts w:ascii="Times New Roman" w:hAnsi="Times New Roman" w:eastAsia="仿宋_GB2312"/>
          <w:color w:val="000000" w:themeColor="text1"/>
          <w:kern w:val="0"/>
          <w:sz w:val="32"/>
          <w:szCs w:val="32"/>
          <w:highlight w:val="none"/>
          <w:u w:val="none"/>
          <w14:textFill>
            <w14:solidFill>
              <w14:schemeClr w14:val="tx1"/>
            </w14:solidFill>
          </w14:textFill>
        </w:rPr>
        <w:t xml:space="preserve"> 台（套），购置费</w:t>
      </w:r>
      <w:r>
        <w:rPr>
          <w:rFonts w:hint="eastAsia" w:ascii="Times New Roman" w:hAnsi="Times New Roman" w:eastAsia="仿宋_GB2312"/>
          <w:color w:val="000000" w:themeColor="text1"/>
          <w:sz w:val="32"/>
          <w:szCs w:val="32"/>
          <w:highlight w:val="none"/>
          <w:u w:val="none"/>
          <w:lang w:val="en-US" w:eastAsia="zh-CN"/>
          <w14:textFill>
            <w14:solidFill>
              <w14:schemeClr w14:val="tx1"/>
            </w14:solidFill>
          </w14:textFill>
        </w:rPr>
        <w:t>0</w:t>
      </w:r>
      <w:r>
        <w:rPr>
          <w:rFonts w:ascii="Times New Roman" w:hAnsi="Times New Roman" w:eastAsia="仿宋_GB2312"/>
          <w:color w:val="000000" w:themeColor="text1"/>
          <w:sz w:val="32"/>
          <w:szCs w:val="32"/>
          <w:highlight w:val="none"/>
          <w:u w:val="none"/>
          <w14:textFill>
            <w14:solidFill>
              <w14:schemeClr w14:val="tx1"/>
            </w14:solidFill>
          </w14:textFill>
        </w:rPr>
        <w:t>万元；</w:t>
      </w:r>
      <w:r>
        <w:rPr>
          <w:rFonts w:ascii="Times New Roman" w:hAnsi="Times New Roman" w:eastAsia="仿宋_GB2312"/>
          <w:color w:val="000000" w:themeColor="text1"/>
          <w:kern w:val="0"/>
          <w:sz w:val="32"/>
          <w:szCs w:val="32"/>
          <w:highlight w:val="none"/>
          <w:u w:val="none"/>
          <w14:textFill>
            <w14:solidFill>
              <w14:schemeClr w14:val="tx1"/>
            </w14:solidFill>
          </w14:textFill>
        </w:rPr>
        <w:t xml:space="preserve">安排购置单位价值100万元以上专用设备 </w:t>
      </w:r>
      <w:r>
        <w:rPr>
          <w:rFonts w:hint="eastAsia" w:ascii="Times New Roman" w:hAnsi="Times New Roman" w:eastAsia="仿宋_GB2312"/>
          <w:color w:val="000000" w:themeColor="text1"/>
          <w:kern w:val="0"/>
          <w:sz w:val="32"/>
          <w:szCs w:val="32"/>
          <w:highlight w:val="none"/>
          <w:u w:val="none"/>
          <w:lang w:val="en-US" w:eastAsia="zh-CN"/>
          <w14:textFill>
            <w14:solidFill>
              <w14:schemeClr w14:val="tx1"/>
            </w14:solidFill>
          </w14:textFill>
        </w:rPr>
        <w:t>0</w:t>
      </w:r>
      <w:r>
        <w:rPr>
          <w:rFonts w:ascii="Times New Roman" w:hAnsi="Times New Roman" w:eastAsia="仿宋_GB2312"/>
          <w:color w:val="000000" w:themeColor="text1"/>
          <w:kern w:val="0"/>
          <w:sz w:val="32"/>
          <w:szCs w:val="32"/>
          <w:highlight w:val="none"/>
          <w:u w:val="none"/>
          <w14:textFill>
            <w14:solidFill>
              <w14:schemeClr w14:val="tx1"/>
            </w14:solidFill>
          </w14:textFill>
        </w:rPr>
        <w:t xml:space="preserve"> 台（套），购</w:t>
      </w:r>
      <w:r>
        <w:rPr>
          <w:rFonts w:ascii="Times New Roman" w:hAnsi="Times New Roman" w:eastAsia="仿宋_GB2312"/>
          <w:color w:val="000000" w:themeColor="text1"/>
          <w:kern w:val="0"/>
          <w:sz w:val="32"/>
          <w:szCs w:val="32"/>
          <w:highlight w:val="none"/>
          <w14:textFill>
            <w14:solidFill>
              <w14:schemeClr w14:val="tx1"/>
            </w14:solidFill>
          </w14:textFill>
        </w:rPr>
        <w:t>置费</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0</w:t>
      </w:r>
      <w:r>
        <w:rPr>
          <w:rFonts w:ascii="Times New Roman" w:hAnsi="Times New Roman" w:eastAsia="仿宋_GB2312"/>
          <w:color w:val="000000" w:themeColor="text1"/>
          <w:sz w:val="32"/>
          <w:szCs w:val="32"/>
          <w:highlight w:val="none"/>
          <w14:textFill>
            <w14:solidFill>
              <w14:schemeClr w14:val="tx1"/>
            </w14:solidFill>
          </w14:textFill>
        </w:rPr>
        <w:t>万元。</w:t>
      </w:r>
    </w:p>
    <w:p>
      <w:pPr>
        <w:spacing w:line="560" w:lineRule="exact"/>
        <w:jc w:val="center"/>
        <w:rPr>
          <w:rFonts w:ascii="Times New Roman" w:hAnsi="Times New Roman" w:eastAsia="黑体"/>
          <w:color w:val="000000" w:themeColor="text1"/>
          <w:sz w:val="36"/>
          <w:szCs w:val="36"/>
          <w:highlight w:val="none"/>
          <w14:textFill>
            <w14:solidFill>
              <w14:schemeClr w14:val="tx1"/>
            </w14:solidFill>
          </w14:textFill>
        </w:rPr>
      </w:pPr>
    </w:p>
    <w:p>
      <w:pPr>
        <w:spacing w:line="560" w:lineRule="exact"/>
        <w:jc w:val="center"/>
        <w:rPr>
          <w:rFonts w:ascii="Times New Roman" w:hAnsi="Times New Roman" w:eastAsia="黑体"/>
          <w:color w:val="000000" w:themeColor="text1"/>
          <w:sz w:val="36"/>
          <w:szCs w:val="36"/>
          <w:highlight w:val="none"/>
          <w14:textFill>
            <w14:solidFill>
              <w14:schemeClr w14:val="tx1"/>
            </w14:solidFill>
          </w14:textFill>
        </w:rPr>
      </w:pPr>
      <w:r>
        <w:rPr>
          <w:rFonts w:ascii="Times New Roman" w:hAnsi="Times New Roman" w:eastAsia="黑体"/>
          <w:color w:val="000000" w:themeColor="text1"/>
          <w:sz w:val="36"/>
          <w:szCs w:val="36"/>
          <w:highlight w:val="none"/>
          <w14:textFill>
            <w14:solidFill>
              <w14:schemeClr w14:val="tx1"/>
            </w14:solidFill>
          </w14:textFill>
        </w:rPr>
        <w:t>第</w:t>
      </w:r>
      <w:r>
        <w:rPr>
          <w:rFonts w:hint="eastAsia" w:ascii="Times New Roman" w:hAnsi="Times New Roman" w:eastAsia="黑体"/>
          <w:color w:val="000000" w:themeColor="text1"/>
          <w:sz w:val="36"/>
          <w:szCs w:val="36"/>
          <w:highlight w:val="none"/>
          <w:lang w:eastAsia="zh-CN"/>
          <w14:textFill>
            <w14:solidFill>
              <w14:schemeClr w14:val="tx1"/>
            </w14:solidFill>
          </w14:textFill>
        </w:rPr>
        <w:t>四</w:t>
      </w:r>
      <w:r>
        <w:rPr>
          <w:rFonts w:ascii="Times New Roman" w:hAnsi="Times New Roman" w:eastAsia="黑体"/>
          <w:color w:val="000000" w:themeColor="text1"/>
          <w:sz w:val="36"/>
          <w:szCs w:val="36"/>
          <w:highlight w:val="none"/>
          <w14:textFill>
            <w14:solidFill>
              <w14:schemeClr w14:val="tx1"/>
            </w14:solidFill>
          </w14:textFill>
        </w:rPr>
        <w:t>部分 名词解释</w:t>
      </w:r>
    </w:p>
    <w:p>
      <w:pPr>
        <w:adjustRightInd w:val="0"/>
        <w:snapToGrid w:val="0"/>
        <w:spacing w:line="56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黑体"/>
          <w:color w:val="000000" w:themeColor="text1"/>
          <w:sz w:val="32"/>
          <w:szCs w:val="32"/>
          <w:highlight w:val="none"/>
          <w14:textFill>
            <w14:solidFill>
              <w14:schemeClr w14:val="tx1"/>
            </w14:solidFill>
          </w14:textFill>
        </w:rPr>
        <w:t>一、财政拨款收入</w:t>
      </w:r>
      <w:r>
        <w:rPr>
          <w:rFonts w:ascii="Times New Roman" w:hAnsi="Times New Roman" w:eastAsia="仿宋_GB2312"/>
          <w:b/>
          <w:color w:val="000000" w:themeColor="text1"/>
          <w:sz w:val="32"/>
          <w:szCs w:val="32"/>
          <w:highlight w:val="none"/>
          <w14:textFill>
            <w14:solidFill>
              <w14:schemeClr w14:val="tx1"/>
            </w14:solidFill>
          </w14:textFill>
        </w:rPr>
        <w:t>：</w:t>
      </w:r>
      <w:r>
        <w:rPr>
          <w:rFonts w:ascii="Times New Roman" w:hAnsi="Times New Roman" w:eastAsia="仿宋_GB2312"/>
          <w:color w:val="000000" w:themeColor="text1"/>
          <w:sz w:val="32"/>
          <w:szCs w:val="32"/>
          <w:highlight w:val="none"/>
          <w14:textFill>
            <w14:solidFill>
              <w14:schemeClr w14:val="tx1"/>
            </w14:solidFill>
          </w14:textFill>
        </w:rPr>
        <w:t>指市财政当年拨付的资金，主要包括一般公共预算拨款收入、政府性基金预算拨款收入、国有资本经营预算拨款收入。</w:t>
      </w:r>
    </w:p>
    <w:p>
      <w:pPr>
        <w:pStyle w:val="5"/>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highlight w:val="none"/>
          <w14:textFill>
            <w14:solidFill>
              <w14:schemeClr w14:val="tx1"/>
            </w14:solidFill>
          </w14:textFill>
        </w:rPr>
      </w:pPr>
      <w:r>
        <w:rPr>
          <w:rFonts w:ascii="Times New Roman" w:hAnsi="Times New Roman" w:eastAsia="黑体" w:cs="Times New Roman"/>
          <w:color w:val="000000" w:themeColor="text1"/>
          <w:sz w:val="32"/>
          <w:szCs w:val="32"/>
          <w:highlight w:val="none"/>
          <w14:textFill>
            <w14:solidFill>
              <w14:schemeClr w14:val="tx1"/>
            </w14:solidFill>
          </w14:textFill>
        </w:rPr>
        <w:t>二、</w:t>
      </w: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财政专户管理资金</w:t>
      </w:r>
      <w:r>
        <w:rPr>
          <w:rFonts w:ascii="Times New Roman" w:hAnsi="Times New Roman" w:eastAsia="黑体" w:cs="Times New Roman"/>
          <w:color w:val="000000" w:themeColor="text1"/>
          <w:sz w:val="32"/>
          <w:szCs w:val="32"/>
          <w:highlight w:val="none"/>
          <w14:textFill>
            <w14:solidFill>
              <w14:schemeClr w14:val="tx1"/>
            </w14:solidFill>
          </w14:textFill>
        </w:rPr>
        <w:t>：</w:t>
      </w:r>
      <w:r>
        <w:rPr>
          <w:rFonts w:ascii="Times New Roman" w:hAnsi="Times New Roman" w:eastAsia="仿宋_GB2312" w:cs="Times New Roman"/>
          <w:color w:val="000000" w:themeColor="text1"/>
          <w:kern w:val="2"/>
          <w:sz w:val="32"/>
          <w:szCs w:val="32"/>
          <w:highlight w:val="none"/>
          <w14:textFill>
            <w14:solidFill>
              <w14:schemeClr w14:val="tx1"/>
            </w14:solidFill>
          </w14:textFill>
        </w:rPr>
        <w:t>指</w:t>
      </w:r>
      <w:r>
        <w:rPr>
          <w:rFonts w:hint="eastAsia" w:ascii="仿宋_GB2312" w:hAnsi="仿宋" w:eastAsia="仿宋_GB2312" w:cs="仿宋_GB2312"/>
          <w:sz w:val="32"/>
          <w:szCs w:val="32"/>
          <w:highlight w:val="none"/>
        </w:rPr>
        <w:t>缴入财政专户、实行专项管理的教育收费收入</w:t>
      </w:r>
      <w:r>
        <w:rPr>
          <w:rFonts w:ascii="Times New Roman" w:hAnsi="Times New Roman" w:eastAsia="仿宋_GB2312" w:cs="Times New Roman"/>
          <w:color w:val="000000" w:themeColor="text1"/>
          <w:kern w:val="2"/>
          <w:sz w:val="32"/>
          <w:szCs w:val="32"/>
          <w:highlight w:val="none"/>
          <w14:textFill>
            <w14:solidFill>
              <w14:schemeClr w14:val="tx1"/>
            </w14:solidFill>
          </w14:textFill>
        </w:rPr>
        <w:t>。</w:t>
      </w:r>
    </w:p>
    <w:p>
      <w:pPr>
        <w:pStyle w:val="5"/>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highlight w:val="none"/>
          <w14:textFill>
            <w14:solidFill>
              <w14:schemeClr w14:val="tx1"/>
            </w14:solidFill>
          </w14:textFill>
        </w:rPr>
      </w:pPr>
      <w:r>
        <w:rPr>
          <w:rFonts w:ascii="Times New Roman" w:hAnsi="Times New Roman" w:eastAsia="黑体" w:cs="Times New Roman"/>
          <w:color w:val="000000" w:themeColor="text1"/>
          <w:sz w:val="32"/>
          <w:szCs w:val="32"/>
          <w:highlight w:val="none"/>
          <w14:textFill>
            <w14:solidFill>
              <w14:schemeClr w14:val="tx1"/>
            </w14:solidFill>
          </w14:textFill>
        </w:rPr>
        <w:t>三、其他收入：</w:t>
      </w:r>
      <w:r>
        <w:rPr>
          <w:rFonts w:ascii="Times New Roman" w:hAnsi="Times New Roman" w:eastAsia="仿宋_GB2312" w:cs="Times New Roman"/>
          <w:color w:val="000000" w:themeColor="text1"/>
          <w:kern w:val="2"/>
          <w:sz w:val="32"/>
          <w:szCs w:val="32"/>
          <w:highlight w:val="none"/>
          <w14:textFill>
            <w14:solidFill>
              <w14:schemeClr w14:val="tx1"/>
            </w14:solidFill>
          </w14:textFill>
        </w:rPr>
        <w:t>指除了财政拨款收入、</w:t>
      </w:r>
      <w:r>
        <w:rPr>
          <w:rFonts w:hint="eastAsia" w:ascii="Times New Roman" w:hAnsi="Times New Roman" w:eastAsia="仿宋_GB2312" w:cs="Times New Roman"/>
          <w:color w:val="000000" w:themeColor="text1"/>
          <w:kern w:val="2"/>
          <w:sz w:val="32"/>
          <w:szCs w:val="32"/>
          <w:highlight w:val="none"/>
          <w:lang w:eastAsia="zh-CN"/>
          <w14:textFill>
            <w14:solidFill>
              <w14:schemeClr w14:val="tx1"/>
            </w14:solidFill>
          </w14:textFill>
        </w:rPr>
        <w:t>财政专户管理资金</w:t>
      </w:r>
      <w:r>
        <w:rPr>
          <w:rFonts w:ascii="Times New Roman" w:hAnsi="Times New Roman" w:eastAsia="仿宋_GB2312" w:cs="Times New Roman"/>
          <w:color w:val="000000" w:themeColor="text1"/>
          <w:kern w:val="2"/>
          <w:sz w:val="32"/>
          <w:szCs w:val="32"/>
          <w:highlight w:val="none"/>
          <w14:textFill>
            <w14:solidFill>
              <w14:schemeClr w14:val="tx1"/>
            </w14:solidFill>
          </w14:textFill>
        </w:rPr>
        <w:t>等以外的收入。</w:t>
      </w:r>
    </w:p>
    <w:p>
      <w:pPr>
        <w:pStyle w:val="5"/>
        <w:widowControl w:val="0"/>
        <w:adjustRightInd w:val="0"/>
        <w:snapToGrid w:val="0"/>
        <w:spacing w:before="0" w:beforeAutospacing="0" w:after="0" w:afterAutospacing="0" w:line="560" w:lineRule="exact"/>
        <w:ind w:firstLine="627" w:firstLineChars="196"/>
        <w:rPr>
          <w:rFonts w:hint="eastAsia" w:ascii="仿宋_GB2312" w:hAnsi="仿宋" w:eastAsia="仿宋_GB2312" w:cs="仿宋_GB2312"/>
          <w:sz w:val="32"/>
          <w:szCs w:val="32"/>
          <w:highlight w:val="none"/>
        </w:rPr>
      </w:pPr>
      <w:r>
        <w:rPr>
          <w:rFonts w:ascii="Times New Roman" w:hAnsi="Times New Roman" w:eastAsia="黑体" w:cs="Times New Roman"/>
          <w:color w:val="000000" w:themeColor="text1"/>
          <w:sz w:val="32"/>
          <w:szCs w:val="32"/>
          <w:highlight w:val="none"/>
          <w14:textFill>
            <w14:solidFill>
              <w14:schemeClr w14:val="tx1"/>
            </w14:solidFill>
          </w14:textFill>
        </w:rPr>
        <w:t>四、上年结转</w:t>
      </w: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结余资金</w:t>
      </w:r>
      <w:r>
        <w:rPr>
          <w:rFonts w:ascii="Times New Roman" w:hAnsi="Times New Roman" w:eastAsia="黑体" w:cs="Times New Roman"/>
          <w:color w:val="000000" w:themeColor="text1"/>
          <w:sz w:val="32"/>
          <w:szCs w:val="32"/>
          <w:highlight w:val="none"/>
          <w14:textFill>
            <w14:solidFill>
              <w14:schemeClr w14:val="tx1"/>
            </w14:solidFill>
          </w14:textFill>
        </w:rPr>
        <w:t>：</w:t>
      </w:r>
      <w:r>
        <w:rPr>
          <w:rFonts w:ascii="Times New Roman" w:hAnsi="Times New Roman" w:eastAsia="仿宋_GB2312" w:cs="Times New Roman"/>
          <w:color w:val="000000" w:themeColor="text1"/>
          <w:kern w:val="2"/>
          <w:sz w:val="32"/>
          <w:szCs w:val="32"/>
          <w:highlight w:val="none"/>
          <w14:textFill>
            <w14:solidFill>
              <w14:schemeClr w14:val="tx1"/>
            </w14:solidFill>
          </w14:textFill>
        </w:rPr>
        <w:t>指</w:t>
      </w:r>
      <w:r>
        <w:rPr>
          <w:rFonts w:hint="eastAsia" w:ascii="仿宋_GB2312" w:hAnsi="仿宋" w:eastAsia="仿宋_GB2312" w:cs="仿宋_GB2312"/>
          <w:sz w:val="32"/>
          <w:szCs w:val="32"/>
          <w:highlight w:val="none"/>
        </w:rPr>
        <w:t>包括财政拨款结转、财政拨款结余、财政专户管理资金结转结余和单位资金结转结余</w:t>
      </w:r>
      <w:r>
        <w:rPr>
          <w:rFonts w:hint="eastAsia" w:ascii="仿宋_GB2312" w:hAnsi="仿宋" w:eastAsia="仿宋_GB2312" w:cs="仿宋_GB2312"/>
          <w:sz w:val="32"/>
          <w:szCs w:val="32"/>
          <w:highlight w:val="none"/>
          <w:lang w:eastAsia="zh-CN"/>
        </w:rPr>
        <w:t>的资金</w:t>
      </w:r>
      <w:r>
        <w:rPr>
          <w:rFonts w:hint="eastAsia" w:ascii="仿宋_GB2312" w:hAnsi="仿宋" w:eastAsia="仿宋_GB2312" w:cs="仿宋_GB2312"/>
          <w:sz w:val="32"/>
          <w:szCs w:val="32"/>
          <w:highlight w:val="none"/>
        </w:rPr>
        <w:t>。</w:t>
      </w:r>
    </w:p>
    <w:p>
      <w:pPr>
        <w:pStyle w:val="5"/>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highlight w:val="none"/>
          <w14:textFill>
            <w14:solidFill>
              <w14:schemeClr w14:val="tx1"/>
            </w14:solidFill>
          </w14:textFill>
        </w:rPr>
      </w:pPr>
      <w:r>
        <w:rPr>
          <w:rFonts w:ascii="Times New Roman" w:hAnsi="Times New Roman" w:eastAsia="黑体" w:cs="Times New Roman"/>
          <w:color w:val="000000" w:themeColor="text1"/>
          <w:sz w:val="32"/>
          <w:szCs w:val="32"/>
          <w:highlight w:val="none"/>
          <w14:textFill>
            <w14:solidFill>
              <w14:schemeClr w14:val="tx1"/>
            </w14:solidFill>
          </w14:textFill>
        </w:rPr>
        <w:t>五、结转下年：</w:t>
      </w:r>
      <w:r>
        <w:rPr>
          <w:rFonts w:ascii="Times New Roman" w:hAnsi="Times New Roman" w:eastAsia="仿宋_GB2312" w:cs="Times New Roman"/>
          <w:color w:val="000000" w:themeColor="text1"/>
          <w:kern w:val="2"/>
          <w:sz w:val="32"/>
          <w:szCs w:val="32"/>
          <w:highlight w:val="none"/>
          <w14:textFill>
            <w14:solidFill>
              <w14:schemeClr w14:val="tx1"/>
            </w14:solidFill>
          </w14:textFill>
        </w:rPr>
        <w:t>指以前年度预算安排、因客观条件发生变化无法按原计划实施，需以后年度按原用途继续使用的资金。</w:t>
      </w:r>
    </w:p>
    <w:p>
      <w:pPr>
        <w:pStyle w:val="5"/>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sz w:val="32"/>
          <w:szCs w:val="32"/>
          <w:highlight w:val="none"/>
          <w14:textFill>
            <w14:solidFill>
              <w14:schemeClr w14:val="tx1"/>
            </w14:solidFill>
          </w14:textFill>
        </w:rPr>
      </w:pPr>
      <w:r>
        <w:rPr>
          <w:rFonts w:ascii="Times New Roman" w:hAnsi="Times New Roman" w:eastAsia="黑体" w:cs="Times New Roman"/>
          <w:color w:val="000000" w:themeColor="text1"/>
          <w:sz w:val="32"/>
          <w:szCs w:val="32"/>
          <w:highlight w:val="none"/>
          <w14:textFill>
            <w14:solidFill>
              <w14:schemeClr w14:val="tx1"/>
            </w14:solidFill>
          </w14:textFill>
        </w:rPr>
        <w:t>六、基本支出</w:t>
      </w:r>
      <w:r>
        <w:rPr>
          <w:rFonts w:ascii="Times New Roman" w:hAnsi="Times New Roman" w:eastAsia="仿宋_GB2312" w:cs="Times New Roman"/>
          <w:b/>
          <w:color w:val="000000" w:themeColor="text1"/>
          <w:sz w:val="32"/>
          <w:szCs w:val="32"/>
          <w:highlight w:val="none"/>
          <w14:textFill>
            <w14:solidFill>
              <w14:schemeClr w14:val="tx1"/>
            </w14:solidFill>
          </w14:textFill>
        </w:rPr>
        <w:t>：</w:t>
      </w:r>
      <w:r>
        <w:rPr>
          <w:rFonts w:ascii="Times New Roman" w:hAnsi="Times New Roman" w:eastAsia="仿宋_GB2312" w:cs="Times New Roman"/>
          <w:color w:val="000000" w:themeColor="text1"/>
          <w:sz w:val="32"/>
          <w:szCs w:val="32"/>
          <w:highlight w:val="none"/>
          <w14:textFill>
            <w14:solidFill>
              <w14:schemeClr w14:val="tx1"/>
            </w14:solidFill>
          </w14:textFill>
        </w:rPr>
        <w:t>指为保障机构正常运转、完成日常工作任务而发生的人员支出和公用支出。</w:t>
      </w:r>
    </w:p>
    <w:p>
      <w:pPr>
        <w:pStyle w:val="5"/>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highlight w:val="none"/>
          <w14:textFill>
            <w14:solidFill>
              <w14:schemeClr w14:val="tx1"/>
            </w14:solidFill>
          </w14:textFill>
        </w:rPr>
      </w:pPr>
      <w:r>
        <w:rPr>
          <w:rFonts w:ascii="Times New Roman" w:hAnsi="Times New Roman" w:eastAsia="黑体" w:cs="Times New Roman"/>
          <w:color w:val="000000" w:themeColor="text1"/>
          <w:sz w:val="32"/>
          <w:szCs w:val="32"/>
          <w:highlight w:val="none"/>
          <w14:textFill>
            <w14:solidFill>
              <w14:schemeClr w14:val="tx1"/>
            </w14:solidFill>
          </w14:textFill>
        </w:rPr>
        <w:t>七、项目支出</w:t>
      </w:r>
      <w:r>
        <w:rPr>
          <w:rFonts w:ascii="Times New Roman" w:hAnsi="Times New Roman" w:eastAsia="仿宋_GB2312" w:cs="Times New Roman"/>
          <w:b/>
          <w:color w:val="000000" w:themeColor="text1"/>
          <w:sz w:val="32"/>
          <w:szCs w:val="32"/>
          <w:highlight w:val="none"/>
          <w14:textFill>
            <w14:solidFill>
              <w14:schemeClr w14:val="tx1"/>
            </w14:solidFill>
          </w14:textFill>
        </w:rPr>
        <w:t>：</w:t>
      </w:r>
      <w:r>
        <w:rPr>
          <w:rFonts w:ascii="Times New Roman" w:hAnsi="Times New Roman" w:eastAsia="仿宋_GB2312" w:cs="Times New Roman"/>
          <w:color w:val="000000" w:themeColor="text1"/>
          <w:sz w:val="32"/>
          <w:szCs w:val="32"/>
          <w:highlight w:val="none"/>
          <w14:textFill>
            <w14:solidFill>
              <w14:schemeClr w14:val="tx1"/>
            </w14:solidFill>
          </w14:textFill>
        </w:rPr>
        <w:t>指在基本支出之外为完成特定行政任务和事业发展目标所发生的支出。</w:t>
      </w:r>
    </w:p>
    <w:p>
      <w:pPr>
        <w:pStyle w:val="5"/>
        <w:widowControl w:val="0"/>
        <w:spacing w:before="0" w:beforeAutospacing="0" w:after="0" w:afterAutospacing="0" w:line="560" w:lineRule="exact"/>
        <w:ind w:firstLine="627" w:firstLineChars="196"/>
        <w:jc w:val="both"/>
        <w:rPr>
          <w:rFonts w:ascii="Times New Roman" w:hAnsi="Times New Roman" w:eastAsia="仿宋_GB2312" w:cs="Times New Roman"/>
          <w:b/>
          <w:color w:val="000000" w:themeColor="text1"/>
          <w:sz w:val="32"/>
          <w:szCs w:val="32"/>
          <w:highlight w:val="none"/>
          <w14:textFill>
            <w14:solidFill>
              <w14:schemeClr w14:val="tx1"/>
            </w14:solidFill>
          </w14:textFill>
        </w:rPr>
      </w:pPr>
      <w:r>
        <w:rPr>
          <w:rFonts w:ascii="Times New Roman" w:hAnsi="Times New Roman" w:eastAsia="黑体" w:cs="Times New Roman"/>
          <w:color w:val="000000" w:themeColor="text1"/>
          <w:sz w:val="32"/>
          <w:szCs w:val="32"/>
          <w:highlight w:val="none"/>
          <w14:textFill>
            <w14:solidFill>
              <w14:schemeClr w14:val="tx1"/>
            </w14:solidFill>
          </w14:textFill>
        </w:rPr>
        <w:t>八、“三公”经费：</w:t>
      </w:r>
      <w:r>
        <w:rPr>
          <w:rFonts w:ascii="Times New Roman" w:hAnsi="Times New Roman" w:eastAsia="仿宋_GB2312" w:cs="Times New Roman"/>
          <w:color w:val="000000" w:themeColor="text1"/>
          <w:sz w:val="32"/>
          <w:szCs w:val="32"/>
          <w:highlight w:val="none"/>
          <w14:textFill>
            <w14:solidFill>
              <w14:schemeClr w14:val="tx1"/>
            </w14:solidFill>
          </w14:textFill>
        </w:rPr>
        <w:t>纳入财政预决算管理的“三公”经费，是指单位用</w:t>
      </w:r>
      <w:r>
        <w:rPr>
          <w:rFonts w:hint="eastAsia" w:ascii="仿宋_GB2312" w:hAnsi="黑体" w:eastAsia="仿宋_GB2312"/>
          <w:color w:val="000000" w:themeColor="text1"/>
          <w:sz w:val="32"/>
          <w:szCs w:val="32"/>
          <w:highlight w:val="none"/>
          <w14:textFill>
            <w14:solidFill>
              <w14:schemeClr w14:val="tx1"/>
            </w14:solidFill>
          </w14:textFill>
        </w:rPr>
        <w:t>一般公共预算</w:t>
      </w:r>
      <w:r>
        <w:rPr>
          <w:rFonts w:ascii="Times New Roman" w:hAnsi="Times New Roman" w:eastAsia="仿宋_GB2312" w:cs="Times New Roman"/>
          <w:color w:val="000000" w:themeColor="text1"/>
          <w:sz w:val="32"/>
          <w:szCs w:val="32"/>
          <w:highlight w:val="none"/>
          <w14:textFill>
            <w14:solidFill>
              <w14:schemeClr w14:val="tx1"/>
            </w14:solidFill>
          </w14:textFill>
        </w:rPr>
        <w:t>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燃料费、维修费、过桥过路费、保险费、安全奖励费用等支出；公务接待费反映单位按规定开支的各类公务接待（含外宾接待）支出。</w:t>
      </w:r>
    </w:p>
    <w:p>
      <w:pPr>
        <w:pStyle w:val="5"/>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highlight w:val="none"/>
          <w14:textFill>
            <w14:solidFill>
              <w14:schemeClr w14:val="tx1"/>
            </w14:solidFill>
          </w14:textFill>
        </w:rPr>
      </w:pPr>
      <w:r>
        <w:rPr>
          <w:rFonts w:ascii="Times New Roman" w:hAnsi="Times New Roman" w:eastAsia="黑体" w:cs="Times New Roman"/>
          <w:color w:val="000000" w:themeColor="text1"/>
          <w:sz w:val="32"/>
          <w:szCs w:val="32"/>
          <w:highlight w:val="none"/>
          <w14:textFill>
            <w14:solidFill>
              <w14:schemeClr w14:val="tx1"/>
            </w14:solidFill>
          </w14:textFill>
        </w:rPr>
        <w:t>九、机关运行经费</w:t>
      </w:r>
      <w:r>
        <w:rPr>
          <w:rFonts w:ascii="Times New Roman" w:hAnsi="Times New Roman" w:eastAsia="仿宋_GB2312" w:cs="Times New Roman"/>
          <w:color w:val="000000" w:themeColor="text1"/>
          <w:sz w:val="32"/>
          <w:szCs w:val="32"/>
          <w:highlight w:val="none"/>
          <w14:textFill>
            <w14:solidFill>
              <w14:schemeClr w14:val="tx1"/>
            </w14:solidFill>
          </w14:textFill>
        </w:rPr>
        <w:t>：指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等。</w:t>
      </w:r>
    </w:p>
    <w:p>
      <w:pPr>
        <w:pStyle w:val="5"/>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highlight w:val="none"/>
          <w14:textFill>
            <w14:solidFill>
              <w14:schemeClr w14:val="tx1"/>
            </w14:solidFill>
          </w14:textFill>
        </w:rPr>
      </w:pPr>
    </w:p>
    <w:p>
      <w:pPr>
        <w:spacing w:line="560" w:lineRule="exact"/>
        <w:ind w:firstLine="640" w:firstLineChars="200"/>
        <w:rPr>
          <w:rFonts w:ascii="Times New Roman" w:hAnsi="Times New Roman" w:eastAsia="黑体"/>
          <w:color w:val="000000" w:themeColor="text1"/>
          <w:sz w:val="32"/>
          <w:szCs w:val="32"/>
          <w:highlight w:val="none"/>
          <w14:textFill>
            <w14:solidFill>
              <w14:schemeClr w14:val="tx1"/>
            </w14:solidFill>
          </w14:textFill>
        </w:rPr>
      </w:pPr>
      <w:r>
        <w:rPr>
          <w:rFonts w:ascii="Times New Roman" w:hAnsi="Times New Roman" w:eastAsia="黑体"/>
          <w:color w:val="000000" w:themeColor="text1"/>
          <w:sz w:val="32"/>
          <w:szCs w:val="32"/>
          <w:highlight w:val="none"/>
          <w14:textFill>
            <w14:solidFill>
              <w14:schemeClr w14:val="tx1"/>
            </w14:solidFill>
          </w14:textFill>
        </w:rPr>
        <w:t>附表：</w:t>
      </w:r>
      <w:r>
        <w:rPr>
          <w:rFonts w:hint="eastAsia" w:ascii="Times New Roman" w:hAnsi="Times New Roman" w:eastAsia="仿宋_GB2312"/>
          <w:color w:val="000000" w:themeColor="text1"/>
          <w:sz w:val="32"/>
          <w:szCs w:val="32"/>
          <w:u w:val="none"/>
          <w:lang w:eastAsia="zh-CN"/>
          <w14:textFill>
            <w14:solidFill>
              <w14:schemeClr w14:val="tx1"/>
            </w14:solidFill>
          </w14:textFill>
        </w:rPr>
        <w:t>六安市</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疾病预防控制中心</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2023年</w:t>
      </w:r>
      <w:r>
        <w:rPr>
          <w:rFonts w:hint="eastAsia" w:ascii="Times New Roman" w:hAnsi="Times New Roman" w:eastAsia="仿宋_GB2312"/>
          <w:color w:val="000000" w:themeColor="text1"/>
          <w:sz w:val="32"/>
          <w:szCs w:val="32"/>
          <w:highlight w:val="none"/>
          <w14:textFill>
            <w14:solidFill>
              <w14:schemeClr w14:val="tx1"/>
            </w14:solidFill>
          </w14:textFill>
        </w:rPr>
        <w:t>预算报表</w:t>
      </w:r>
      <w:r>
        <w:rPr>
          <w:rFonts w:ascii="Times New Roman" w:hAnsi="Times New Roman" w:eastAsia="仿宋_GB2312"/>
          <w:color w:val="000000" w:themeColor="text1"/>
          <w:sz w:val="32"/>
          <w:szCs w:val="32"/>
          <w:highlight w:val="none"/>
          <w14:textFill>
            <w14:solidFill>
              <w14:schemeClr w14:val="tx1"/>
            </w14:solidFill>
          </w14:textFill>
        </w:rPr>
        <w:t>（1</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4</w:t>
      </w:r>
      <w:r>
        <w:rPr>
          <w:rFonts w:ascii="Times New Roman" w:hAnsi="Times New Roman" w:eastAsia="仿宋_GB2312"/>
          <w:color w:val="000000" w:themeColor="text1"/>
          <w:sz w:val="32"/>
          <w:szCs w:val="32"/>
          <w:highlight w:val="none"/>
          <w14:textFill>
            <w14:solidFill>
              <w14:schemeClr w14:val="tx1"/>
            </w14:solidFill>
          </w14:textFill>
        </w:rPr>
        <w:t>张）</w:t>
      </w: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5497976"/>
    </w:sdtPr>
    <w:sdtEndPr>
      <w:rPr>
        <w:rFonts w:asciiTheme="minorEastAsia" w:hAnsiTheme="minorEastAsia" w:eastAsiaTheme="minorEastAsia"/>
        <w:sz w:val="28"/>
        <w:szCs w:val="28"/>
      </w:rPr>
    </w:sdtEndPr>
    <w:sdtContent>
      <w:p>
        <w:pPr>
          <w:pStyle w:val="3"/>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19 -</w:t>
        </w:r>
        <w:r>
          <w:rPr>
            <w:rFonts w:asciiTheme="minorEastAsia" w:hAnsiTheme="minorEastAsia" w:eastAsiaTheme="minorEastAsia"/>
            <w:sz w:val="28"/>
            <w:szCs w:val="28"/>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319664"/>
    </w:sdtPr>
    <w:sdtContent>
      <w:p>
        <w:pPr>
          <w:pStyle w:val="3"/>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18 -</w:t>
        </w:r>
        <w:r>
          <w:rPr>
            <w:rFonts w:asciiTheme="minorEastAsia" w:hAnsiTheme="minorEastAsia" w:eastAsiaTheme="minorEastAsia"/>
            <w:sz w:val="28"/>
            <w:szCs w:val="28"/>
          </w:rPr>
          <w:fldChar w:fldCharType="end"/>
        </w:r>
      </w:p>
    </w:sdtContent>
  </w:sdt>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3743853"/>
    </w:sdtPr>
    <w:sdtEndPr>
      <w:rPr>
        <w:rFonts w:asciiTheme="minorEastAsia" w:hAnsiTheme="minorEastAsia" w:eastAsiaTheme="minorEastAsia"/>
        <w:sz w:val="28"/>
        <w:szCs w:val="28"/>
      </w:rPr>
    </w:sdtEndPr>
    <w:sdtContent>
      <w:p>
        <w:pPr>
          <w:pStyle w:val="3"/>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1 -</w:t>
        </w:r>
        <w:r>
          <w:rPr>
            <w:rFonts w:asciiTheme="minorEastAsia" w:hAnsiTheme="minorEastAsia" w:eastAsiaTheme="minorEastAsia"/>
            <w:sz w:val="28"/>
            <w:szCs w:val="28"/>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96C3E"/>
    <w:multiLevelType w:val="singleLevel"/>
    <w:tmpl w:val="48F96C3E"/>
    <w:lvl w:ilvl="0" w:tentative="0">
      <w:start w:val="3"/>
      <w:numFmt w:val="chineseCounting"/>
      <w:suff w:val="space"/>
      <w:lvlText w:val="第%1部分"/>
      <w:lvlJc w:val="left"/>
      <w:rPr>
        <w:rFonts w:hint="eastAsia"/>
      </w:rPr>
    </w:lvl>
  </w:abstractNum>
  <w:abstractNum w:abstractNumId="1">
    <w:nsid w:val="6CE2505F"/>
    <w:multiLevelType w:val="singleLevel"/>
    <w:tmpl w:val="6CE2505F"/>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iMjZlOWQxNmFjYjNjYTZhMTg2OWU0ZWQ4M2E5Y2MifQ=="/>
  </w:docVars>
  <w:rsids>
    <w:rsidRoot w:val="00830C4C"/>
    <w:rsid w:val="00000551"/>
    <w:rsid w:val="00001B94"/>
    <w:rsid w:val="0000535D"/>
    <w:rsid w:val="00007343"/>
    <w:rsid w:val="00010179"/>
    <w:rsid w:val="00011AD2"/>
    <w:rsid w:val="00021FA6"/>
    <w:rsid w:val="000236AD"/>
    <w:rsid w:val="0002492E"/>
    <w:rsid w:val="00025077"/>
    <w:rsid w:val="000275B2"/>
    <w:rsid w:val="00027CCA"/>
    <w:rsid w:val="00030CBF"/>
    <w:rsid w:val="000336CA"/>
    <w:rsid w:val="00037A70"/>
    <w:rsid w:val="000417D9"/>
    <w:rsid w:val="00043BC6"/>
    <w:rsid w:val="00044146"/>
    <w:rsid w:val="00044173"/>
    <w:rsid w:val="000442BB"/>
    <w:rsid w:val="0004465A"/>
    <w:rsid w:val="0005187A"/>
    <w:rsid w:val="000519FA"/>
    <w:rsid w:val="0005484A"/>
    <w:rsid w:val="00056291"/>
    <w:rsid w:val="00061583"/>
    <w:rsid w:val="0006321A"/>
    <w:rsid w:val="00063F13"/>
    <w:rsid w:val="00065B2F"/>
    <w:rsid w:val="00067122"/>
    <w:rsid w:val="00072ACA"/>
    <w:rsid w:val="00073750"/>
    <w:rsid w:val="00073872"/>
    <w:rsid w:val="00074140"/>
    <w:rsid w:val="00076587"/>
    <w:rsid w:val="00076A5B"/>
    <w:rsid w:val="00080D7C"/>
    <w:rsid w:val="00081FDA"/>
    <w:rsid w:val="00082CF3"/>
    <w:rsid w:val="00084A86"/>
    <w:rsid w:val="00085FBE"/>
    <w:rsid w:val="000874BC"/>
    <w:rsid w:val="00087697"/>
    <w:rsid w:val="00090371"/>
    <w:rsid w:val="0009079C"/>
    <w:rsid w:val="000917D4"/>
    <w:rsid w:val="000922B4"/>
    <w:rsid w:val="000923D0"/>
    <w:rsid w:val="000925A3"/>
    <w:rsid w:val="00092ACA"/>
    <w:rsid w:val="000952A0"/>
    <w:rsid w:val="00095CD5"/>
    <w:rsid w:val="00097E9C"/>
    <w:rsid w:val="000A140F"/>
    <w:rsid w:val="000A376D"/>
    <w:rsid w:val="000A3A07"/>
    <w:rsid w:val="000A5401"/>
    <w:rsid w:val="000A69A4"/>
    <w:rsid w:val="000A78A4"/>
    <w:rsid w:val="000B1CEF"/>
    <w:rsid w:val="000B1F1B"/>
    <w:rsid w:val="000B310D"/>
    <w:rsid w:val="000B3B4D"/>
    <w:rsid w:val="000B57CE"/>
    <w:rsid w:val="000B75CC"/>
    <w:rsid w:val="000B7CEB"/>
    <w:rsid w:val="000C0866"/>
    <w:rsid w:val="000C2B2C"/>
    <w:rsid w:val="000C2B3D"/>
    <w:rsid w:val="000C313C"/>
    <w:rsid w:val="000C3D33"/>
    <w:rsid w:val="000C3FE1"/>
    <w:rsid w:val="000C5319"/>
    <w:rsid w:val="000C60D4"/>
    <w:rsid w:val="000D0AD5"/>
    <w:rsid w:val="000D12E9"/>
    <w:rsid w:val="000D17B5"/>
    <w:rsid w:val="000D213E"/>
    <w:rsid w:val="000D2E66"/>
    <w:rsid w:val="000D3A51"/>
    <w:rsid w:val="000D3B7D"/>
    <w:rsid w:val="000D3C09"/>
    <w:rsid w:val="000D4289"/>
    <w:rsid w:val="000D509C"/>
    <w:rsid w:val="000D5766"/>
    <w:rsid w:val="000E05E9"/>
    <w:rsid w:val="000E203A"/>
    <w:rsid w:val="000E2A17"/>
    <w:rsid w:val="000E592F"/>
    <w:rsid w:val="000F0A8D"/>
    <w:rsid w:val="000F3AE4"/>
    <w:rsid w:val="000F3C4D"/>
    <w:rsid w:val="000F3DB3"/>
    <w:rsid w:val="000F41B6"/>
    <w:rsid w:val="000F71EA"/>
    <w:rsid w:val="00102140"/>
    <w:rsid w:val="00102422"/>
    <w:rsid w:val="00102AFA"/>
    <w:rsid w:val="001042A3"/>
    <w:rsid w:val="00104A57"/>
    <w:rsid w:val="00104DB6"/>
    <w:rsid w:val="00105BE8"/>
    <w:rsid w:val="001112F4"/>
    <w:rsid w:val="00112879"/>
    <w:rsid w:val="00112D89"/>
    <w:rsid w:val="001137AF"/>
    <w:rsid w:val="00114D2C"/>
    <w:rsid w:val="001155D8"/>
    <w:rsid w:val="001221E4"/>
    <w:rsid w:val="001223FF"/>
    <w:rsid w:val="00123B1C"/>
    <w:rsid w:val="001243BE"/>
    <w:rsid w:val="00125468"/>
    <w:rsid w:val="00125B29"/>
    <w:rsid w:val="00126856"/>
    <w:rsid w:val="00130CD7"/>
    <w:rsid w:val="00131805"/>
    <w:rsid w:val="00132BF1"/>
    <w:rsid w:val="0013429F"/>
    <w:rsid w:val="00134B96"/>
    <w:rsid w:val="00137B00"/>
    <w:rsid w:val="00140C87"/>
    <w:rsid w:val="00142525"/>
    <w:rsid w:val="001427FD"/>
    <w:rsid w:val="001438F4"/>
    <w:rsid w:val="001458DF"/>
    <w:rsid w:val="00146D59"/>
    <w:rsid w:val="00147167"/>
    <w:rsid w:val="00147E08"/>
    <w:rsid w:val="00147FA4"/>
    <w:rsid w:val="00151AF6"/>
    <w:rsid w:val="00151B71"/>
    <w:rsid w:val="00153E3F"/>
    <w:rsid w:val="00154CC3"/>
    <w:rsid w:val="00155D64"/>
    <w:rsid w:val="001619E7"/>
    <w:rsid w:val="00162A76"/>
    <w:rsid w:val="0016317C"/>
    <w:rsid w:val="001641B7"/>
    <w:rsid w:val="00166712"/>
    <w:rsid w:val="001667A9"/>
    <w:rsid w:val="0016765C"/>
    <w:rsid w:val="00170F5B"/>
    <w:rsid w:val="00172BC7"/>
    <w:rsid w:val="00173E8A"/>
    <w:rsid w:val="00176168"/>
    <w:rsid w:val="00176875"/>
    <w:rsid w:val="00176EAA"/>
    <w:rsid w:val="00182678"/>
    <w:rsid w:val="001861FC"/>
    <w:rsid w:val="00190DDC"/>
    <w:rsid w:val="00191232"/>
    <w:rsid w:val="001919D8"/>
    <w:rsid w:val="00192CBE"/>
    <w:rsid w:val="00192E0D"/>
    <w:rsid w:val="00194ED1"/>
    <w:rsid w:val="001969CA"/>
    <w:rsid w:val="00197A0A"/>
    <w:rsid w:val="001A0300"/>
    <w:rsid w:val="001A069F"/>
    <w:rsid w:val="001A3E28"/>
    <w:rsid w:val="001A4329"/>
    <w:rsid w:val="001A5951"/>
    <w:rsid w:val="001A692F"/>
    <w:rsid w:val="001B12FC"/>
    <w:rsid w:val="001B173D"/>
    <w:rsid w:val="001B3112"/>
    <w:rsid w:val="001B353B"/>
    <w:rsid w:val="001B4580"/>
    <w:rsid w:val="001B4746"/>
    <w:rsid w:val="001B6666"/>
    <w:rsid w:val="001B6B73"/>
    <w:rsid w:val="001B7723"/>
    <w:rsid w:val="001C0C12"/>
    <w:rsid w:val="001C0CF1"/>
    <w:rsid w:val="001C0F06"/>
    <w:rsid w:val="001C35B2"/>
    <w:rsid w:val="001C43C8"/>
    <w:rsid w:val="001C5A4A"/>
    <w:rsid w:val="001C679D"/>
    <w:rsid w:val="001C73A2"/>
    <w:rsid w:val="001D15D8"/>
    <w:rsid w:val="001D1989"/>
    <w:rsid w:val="001D3F6F"/>
    <w:rsid w:val="001D515D"/>
    <w:rsid w:val="001D52C0"/>
    <w:rsid w:val="001D646F"/>
    <w:rsid w:val="001D7568"/>
    <w:rsid w:val="001D7EFB"/>
    <w:rsid w:val="001E152F"/>
    <w:rsid w:val="001E74D0"/>
    <w:rsid w:val="001E7983"/>
    <w:rsid w:val="001F21F2"/>
    <w:rsid w:val="001F4DE2"/>
    <w:rsid w:val="001F54D3"/>
    <w:rsid w:val="001F7A88"/>
    <w:rsid w:val="001F7C48"/>
    <w:rsid w:val="0020004C"/>
    <w:rsid w:val="00201187"/>
    <w:rsid w:val="00203884"/>
    <w:rsid w:val="002056C3"/>
    <w:rsid w:val="00206F1B"/>
    <w:rsid w:val="00207714"/>
    <w:rsid w:val="002113D3"/>
    <w:rsid w:val="00212F3D"/>
    <w:rsid w:val="0021417F"/>
    <w:rsid w:val="00214208"/>
    <w:rsid w:val="002153CB"/>
    <w:rsid w:val="00216994"/>
    <w:rsid w:val="00216B63"/>
    <w:rsid w:val="002201D8"/>
    <w:rsid w:val="00220E02"/>
    <w:rsid w:val="002219D1"/>
    <w:rsid w:val="00223791"/>
    <w:rsid w:val="00224107"/>
    <w:rsid w:val="00226CB9"/>
    <w:rsid w:val="002311D6"/>
    <w:rsid w:val="0023652F"/>
    <w:rsid w:val="00242688"/>
    <w:rsid w:val="00242C43"/>
    <w:rsid w:val="00242DF2"/>
    <w:rsid w:val="002430DA"/>
    <w:rsid w:val="00243E90"/>
    <w:rsid w:val="00245535"/>
    <w:rsid w:val="0024617D"/>
    <w:rsid w:val="0024619D"/>
    <w:rsid w:val="00246EBE"/>
    <w:rsid w:val="00247F3D"/>
    <w:rsid w:val="00250317"/>
    <w:rsid w:val="00251133"/>
    <w:rsid w:val="00251E0F"/>
    <w:rsid w:val="00251FC8"/>
    <w:rsid w:val="002520A9"/>
    <w:rsid w:val="0025270F"/>
    <w:rsid w:val="00252BED"/>
    <w:rsid w:val="00253508"/>
    <w:rsid w:val="00253522"/>
    <w:rsid w:val="00254ECC"/>
    <w:rsid w:val="002573A0"/>
    <w:rsid w:val="0026178F"/>
    <w:rsid w:val="0026313D"/>
    <w:rsid w:val="00263939"/>
    <w:rsid w:val="00263F02"/>
    <w:rsid w:val="00265972"/>
    <w:rsid w:val="00267A3D"/>
    <w:rsid w:val="00267FE0"/>
    <w:rsid w:val="002705D9"/>
    <w:rsid w:val="0027484D"/>
    <w:rsid w:val="00274CA5"/>
    <w:rsid w:val="00275BEF"/>
    <w:rsid w:val="00275D48"/>
    <w:rsid w:val="00276556"/>
    <w:rsid w:val="00281FC9"/>
    <w:rsid w:val="002822EB"/>
    <w:rsid w:val="0028258A"/>
    <w:rsid w:val="00282C62"/>
    <w:rsid w:val="00284080"/>
    <w:rsid w:val="00285047"/>
    <w:rsid w:val="00286406"/>
    <w:rsid w:val="00286797"/>
    <w:rsid w:val="002879D7"/>
    <w:rsid w:val="00290C58"/>
    <w:rsid w:val="00291C01"/>
    <w:rsid w:val="00291D54"/>
    <w:rsid w:val="00293670"/>
    <w:rsid w:val="002952C6"/>
    <w:rsid w:val="00295FDA"/>
    <w:rsid w:val="002978C5"/>
    <w:rsid w:val="002A02BB"/>
    <w:rsid w:val="002A4301"/>
    <w:rsid w:val="002A44CF"/>
    <w:rsid w:val="002A4AFD"/>
    <w:rsid w:val="002A6015"/>
    <w:rsid w:val="002A66EB"/>
    <w:rsid w:val="002B2337"/>
    <w:rsid w:val="002B3929"/>
    <w:rsid w:val="002B462F"/>
    <w:rsid w:val="002B4F1A"/>
    <w:rsid w:val="002B6B7E"/>
    <w:rsid w:val="002C0026"/>
    <w:rsid w:val="002C06F9"/>
    <w:rsid w:val="002C14E7"/>
    <w:rsid w:val="002C2437"/>
    <w:rsid w:val="002C420B"/>
    <w:rsid w:val="002C4A23"/>
    <w:rsid w:val="002C6A15"/>
    <w:rsid w:val="002D6745"/>
    <w:rsid w:val="002D760E"/>
    <w:rsid w:val="002E0017"/>
    <w:rsid w:val="002E0689"/>
    <w:rsid w:val="002E1BBA"/>
    <w:rsid w:val="002E3166"/>
    <w:rsid w:val="002E5835"/>
    <w:rsid w:val="002E5848"/>
    <w:rsid w:val="002E5E4E"/>
    <w:rsid w:val="002E6ADF"/>
    <w:rsid w:val="002E753C"/>
    <w:rsid w:val="002F06B6"/>
    <w:rsid w:val="002F1174"/>
    <w:rsid w:val="002F2A60"/>
    <w:rsid w:val="002F6324"/>
    <w:rsid w:val="00303B16"/>
    <w:rsid w:val="00304CA1"/>
    <w:rsid w:val="00305473"/>
    <w:rsid w:val="00305977"/>
    <w:rsid w:val="00306232"/>
    <w:rsid w:val="00306881"/>
    <w:rsid w:val="00307FB8"/>
    <w:rsid w:val="00311FE9"/>
    <w:rsid w:val="00312633"/>
    <w:rsid w:val="00315400"/>
    <w:rsid w:val="00315C4D"/>
    <w:rsid w:val="00316D7F"/>
    <w:rsid w:val="003207C7"/>
    <w:rsid w:val="003222AF"/>
    <w:rsid w:val="00322D12"/>
    <w:rsid w:val="00324244"/>
    <w:rsid w:val="00333A64"/>
    <w:rsid w:val="003352FE"/>
    <w:rsid w:val="00335B1E"/>
    <w:rsid w:val="003445F4"/>
    <w:rsid w:val="003446EF"/>
    <w:rsid w:val="003454CE"/>
    <w:rsid w:val="00345E88"/>
    <w:rsid w:val="003464B4"/>
    <w:rsid w:val="00347E2E"/>
    <w:rsid w:val="0035100C"/>
    <w:rsid w:val="003516D4"/>
    <w:rsid w:val="00351B21"/>
    <w:rsid w:val="00354026"/>
    <w:rsid w:val="003541D5"/>
    <w:rsid w:val="00354306"/>
    <w:rsid w:val="00354371"/>
    <w:rsid w:val="0035478E"/>
    <w:rsid w:val="0035744F"/>
    <w:rsid w:val="0036119D"/>
    <w:rsid w:val="003613FF"/>
    <w:rsid w:val="00361DD0"/>
    <w:rsid w:val="00363DE8"/>
    <w:rsid w:val="003655CE"/>
    <w:rsid w:val="003675D2"/>
    <w:rsid w:val="003704F8"/>
    <w:rsid w:val="00370AE8"/>
    <w:rsid w:val="00372A5C"/>
    <w:rsid w:val="00372A9D"/>
    <w:rsid w:val="00372EF5"/>
    <w:rsid w:val="00373E72"/>
    <w:rsid w:val="00375E4B"/>
    <w:rsid w:val="00375EC8"/>
    <w:rsid w:val="00376114"/>
    <w:rsid w:val="003769A8"/>
    <w:rsid w:val="00376D7F"/>
    <w:rsid w:val="00376FF1"/>
    <w:rsid w:val="00377232"/>
    <w:rsid w:val="0037737B"/>
    <w:rsid w:val="003808CD"/>
    <w:rsid w:val="003903A9"/>
    <w:rsid w:val="00390D65"/>
    <w:rsid w:val="00391EA4"/>
    <w:rsid w:val="00393EAC"/>
    <w:rsid w:val="0039523D"/>
    <w:rsid w:val="00397356"/>
    <w:rsid w:val="003974EA"/>
    <w:rsid w:val="003A01AF"/>
    <w:rsid w:val="003A7E42"/>
    <w:rsid w:val="003B08D3"/>
    <w:rsid w:val="003B4530"/>
    <w:rsid w:val="003B4DB3"/>
    <w:rsid w:val="003B6188"/>
    <w:rsid w:val="003B6798"/>
    <w:rsid w:val="003B6938"/>
    <w:rsid w:val="003C0924"/>
    <w:rsid w:val="003C25D4"/>
    <w:rsid w:val="003C35C1"/>
    <w:rsid w:val="003C3A7F"/>
    <w:rsid w:val="003C5776"/>
    <w:rsid w:val="003C7A6E"/>
    <w:rsid w:val="003D4A45"/>
    <w:rsid w:val="003D7D50"/>
    <w:rsid w:val="003E2A8A"/>
    <w:rsid w:val="003E2E7E"/>
    <w:rsid w:val="003E479C"/>
    <w:rsid w:val="003E50F8"/>
    <w:rsid w:val="003E5690"/>
    <w:rsid w:val="003F05CE"/>
    <w:rsid w:val="003F1938"/>
    <w:rsid w:val="003F1B98"/>
    <w:rsid w:val="003F1ED8"/>
    <w:rsid w:val="003F286E"/>
    <w:rsid w:val="003F4F7D"/>
    <w:rsid w:val="0040091C"/>
    <w:rsid w:val="004011F0"/>
    <w:rsid w:val="004042BE"/>
    <w:rsid w:val="00405B97"/>
    <w:rsid w:val="00406796"/>
    <w:rsid w:val="00406E4C"/>
    <w:rsid w:val="00407111"/>
    <w:rsid w:val="004130C1"/>
    <w:rsid w:val="0041356B"/>
    <w:rsid w:val="0041566F"/>
    <w:rsid w:val="00415705"/>
    <w:rsid w:val="00416199"/>
    <w:rsid w:val="0041659D"/>
    <w:rsid w:val="00417BB3"/>
    <w:rsid w:val="0042015B"/>
    <w:rsid w:val="0042139E"/>
    <w:rsid w:val="004220BF"/>
    <w:rsid w:val="00422418"/>
    <w:rsid w:val="00425D62"/>
    <w:rsid w:val="004262E3"/>
    <w:rsid w:val="00430BDF"/>
    <w:rsid w:val="00431375"/>
    <w:rsid w:val="0043398C"/>
    <w:rsid w:val="004339B6"/>
    <w:rsid w:val="00434B8E"/>
    <w:rsid w:val="00435C68"/>
    <w:rsid w:val="00440C36"/>
    <w:rsid w:val="00444670"/>
    <w:rsid w:val="00444EAB"/>
    <w:rsid w:val="00445341"/>
    <w:rsid w:val="00447ADE"/>
    <w:rsid w:val="00447F38"/>
    <w:rsid w:val="00455590"/>
    <w:rsid w:val="00456214"/>
    <w:rsid w:val="00456AC7"/>
    <w:rsid w:val="00456C6C"/>
    <w:rsid w:val="00457114"/>
    <w:rsid w:val="0046048F"/>
    <w:rsid w:val="004627ED"/>
    <w:rsid w:val="00462AAD"/>
    <w:rsid w:val="00464869"/>
    <w:rsid w:val="0046677D"/>
    <w:rsid w:val="00475B93"/>
    <w:rsid w:val="00480626"/>
    <w:rsid w:val="0048200B"/>
    <w:rsid w:val="00483F89"/>
    <w:rsid w:val="00486A1E"/>
    <w:rsid w:val="00487E71"/>
    <w:rsid w:val="00495005"/>
    <w:rsid w:val="0049629B"/>
    <w:rsid w:val="00497A33"/>
    <w:rsid w:val="004A0AAE"/>
    <w:rsid w:val="004A1C9E"/>
    <w:rsid w:val="004A2858"/>
    <w:rsid w:val="004A3394"/>
    <w:rsid w:val="004A567A"/>
    <w:rsid w:val="004A5758"/>
    <w:rsid w:val="004A6B26"/>
    <w:rsid w:val="004A75AC"/>
    <w:rsid w:val="004B0A47"/>
    <w:rsid w:val="004B0BB3"/>
    <w:rsid w:val="004B0E56"/>
    <w:rsid w:val="004B13FF"/>
    <w:rsid w:val="004B19A1"/>
    <w:rsid w:val="004B31A9"/>
    <w:rsid w:val="004B40BA"/>
    <w:rsid w:val="004B5B26"/>
    <w:rsid w:val="004C26D0"/>
    <w:rsid w:val="004C7201"/>
    <w:rsid w:val="004C7747"/>
    <w:rsid w:val="004D0D53"/>
    <w:rsid w:val="004D10CA"/>
    <w:rsid w:val="004D1E38"/>
    <w:rsid w:val="004D251A"/>
    <w:rsid w:val="004D3217"/>
    <w:rsid w:val="004D38BE"/>
    <w:rsid w:val="004D3B46"/>
    <w:rsid w:val="004D4995"/>
    <w:rsid w:val="004D51EA"/>
    <w:rsid w:val="004D658C"/>
    <w:rsid w:val="004D66E9"/>
    <w:rsid w:val="004D6833"/>
    <w:rsid w:val="004E25E9"/>
    <w:rsid w:val="004E2EF5"/>
    <w:rsid w:val="004E3CD2"/>
    <w:rsid w:val="004E3ED3"/>
    <w:rsid w:val="004E497C"/>
    <w:rsid w:val="004F0CDC"/>
    <w:rsid w:val="004F28B3"/>
    <w:rsid w:val="004F554B"/>
    <w:rsid w:val="004F74BC"/>
    <w:rsid w:val="00504A1A"/>
    <w:rsid w:val="00511E40"/>
    <w:rsid w:val="0051316D"/>
    <w:rsid w:val="00513DA7"/>
    <w:rsid w:val="00514600"/>
    <w:rsid w:val="00514B14"/>
    <w:rsid w:val="00515699"/>
    <w:rsid w:val="00516E7D"/>
    <w:rsid w:val="00516F49"/>
    <w:rsid w:val="0052035B"/>
    <w:rsid w:val="00520B00"/>
    <w:rsid w:val="00524304"/>
    <w:rsid w:val="0052580A"/>
    <w:rsid w:val="00525CB3"/>
    <w:rsid w:val="0052601D"/>
    <w:rsid w:val="005261A2"/>
    <w:rsid w:val="00531F3B"/>
    <w:rsid w:val="00532814"/>
    <w:rsid w:val="00534EC9"/>
    <w:rsid w:val="005375BE"/>
    <w:rsid w:val="00541DB9"/>
    <w:rsid w:val="00545713"/>
    <w:rsid w:val="00547BC0"/>
    <w:rsid w:val="00550E6D"/>
    <w:rsid w:val="00551C48"/>
    <w:rsid w:val="005536AA"/>
    <w:rsid w:val="00555265"/>
    <w:rsid w:val="00555EF2"/>
    <w:rsid w:val="00557FC5"/>
    <w:rsid w:val="00560410"/>
    <w:rsid w:val="00560437"/>
    <w:rsid w:val="00560E7B"/>
    <w:rsid w:val="00561947"/>
    <w:rsid w:val="0056269E"/>
    <w:rsid w:val="00564164"/>
    <w:rsid w:val="0056433A"/>
    <w:rsid w:val="005645A2"/>
    <w:rsid w:val="00564628"/>
    <w:rsid w:val="005712D2"/>
    <w:rsid w:val="0057378E"/>
    <w:rsid w:val="00574229"/>
    <w:rsid w:val="00574916"/>
    <w:rsid w:val="00584A45"/>
    <w:rsid w:val="00585CD7"/>
    <w:rsid w:val="0059007B"/>
    <w:rsid w:val="00590D40"/>
    <w:rsid w:val="00592332"/>
    <w:rsid w:val="00594575"/>
    <w:rsid w:val="0059594C"/>
    <w:rsid w:val="005972E4"/>
    <w:rsid w:val="005A14D8"/>
    <w:rsid w:val="005A2845"/>
    <w:rsid w:val="005A70FD"/>
    <w:rsid w:val="005A7649"/>
    <w:rsid w:val="005B0846"/>
    <w:rsid w:val="005B0BE7"/>
    <w:rsid w:val="005B4740"/>
    <w:rsid w:val="005B483F"/>
    <w:rsid w:val="005B4CCD"/>
    <w:rsid w:val="005C05C7"/>
    <w:rsid w:val="005C0659"/>
    <w:rsid w:val="005C1EF8"/>
    <w:rsid w:val="005C2800"/>
    <w:rsid w:val="005C2888"/>
    <w:rsid w:val="005C2B32"/>
    <w:rsid w:val="005C3CA4"/>
    <w:rsid w:val="005C52A7"/>
    <w:rsid w:val="005C61B1"/>
    <w:rsid w:val="005D0E05"/>
    <w:rsid w:val="005D24D3"/>
    <w:rsid w:val="005D2A89"/>
    <w:rsid w:val="005D3972"/>
    <w:rsid w:val="005D502B"/>
    <w:rsid w:val="005D58DE"/>
    <w:rsid w:val="005D6432"/>
    <w:rsid w:val="005E25B0"/>
    <w:rsid w:val="005E454E"/>
    <w:rsid w:val="005E5A77"/>
    <w:rsid w:val="005E5FAF"/>
    <w:rsid w:val="005F0BF6"/>
    <w:rsid w:val="005F1217"/>
    <w:rsid w:val="005F2AC6"/>
    <w:rsid w:val="005F4CBE"/>
    <w:rsid w:val="005F5E0C"/>
    <w:rsid w:val="005F6134"/>
    <w:rsid w:val="005F65E2"/>
    <w:rsid w:val="005F6B31"/>
    <w:rsid w:val="005F76E7"/>
    <w:rsid w:val="005F7B64"/>
    <w:rsid w:val="00600F30"/>
    <w:rsid w:val="00606069"/>
    <w:rsid w:val="00606268"/>
    <w:rsid w:val="0060656E"/>
    <w:rsid w:val="00607186"/>
    <w:rsid w:val="00610175"/>
    <w:rsid w:val="0061025A"/>
    <w:rsid w:val="006114AA"/>
    <w:rsid w:val="00611770"/>
    <w:rsid w:val="006139E8"/>
    <w:rsid w:val="0061434F"/>
    <w:rsid w:val="00614F65"/>
    <w:rsid w:val="006162B8"/>
    <w:rsid w:val="00617840"/>
    <w:rsid w:val="00617A4B"/>
    <w:rsid w:val="00617C87"/>
    <w:rsid w:val="00621FA9"/>
    <w:rsid w:val="00622F29"/>
    <w:rsid w:val="00624241"/>
    <w:rsid w:val="0062559B"/>
    <w:rsid w:val="006259C9"/>
    <w:rsid w:val="006266D5"/>
    <w:rsid w:val="00626DEE"/>
    <w:rsid w:val="0062761B"/>
    <w:rsid w:val="006279F7"/>
    <w:rsid w:val="00627FBE"/>
    <w:rsid w:val="0063427D"/>
    <w:rsid w:val="00640B6F"/>
    <w:rsid w:val="00640BF1"/>
    <w:rsid w:val="006411A2"/>
    <w:rsid w:val="00645879"/>
    <w:rsid w:val="0064793F"/>
    <w:rsid w:val="00647A21"/>
    <w:rsid w:val="0065218D"/>
    <w:rsid w:val="0065680B"/>
    <w:rsid w:val="00657892"/>
    <w:rsid w:val="00657E3E"/>
    <w:rsid w:val="006603A4"/>
    <w:rsid w:val="0066345D"/>
    <w:rsid w:val="00665410"/>
    <w:rsid w:val="00674217"/>
    <w:rsid w:val="006747A6"/>
    <w:rsid w:val="00676977"/>
    <w:rsid w:val="006775D1"/>
    <w:rsid w:val="0067799A"/>
    <w:rsid w:val="006807CF"/>
    <w:rsid w:val="00682923"/>
    <w:rsid w:val="006858A8"/>
    <w:rsid w:val="00686186"/>
    <w:rsid w:val="006876D6"/>
    <w:rsid w:val="00687C33"/>
    <w:rsid w:val="00690F1C"/>
    <w:rsid w:val="00694A21"/>
    <w:rsid w:val="00695E68"/>
    <w:rsid w:val="00697159"/>
    <w:rsid w:val="00697B11"/>
    <w:rsid w:val="00697EA8"/>
    <w:rsid w:val="006A1E97"/>
    <w:rsid w:val="006A204B"/>
    <w:rsid w:val="006A6860"/>
    <w:rsid w:val="006A7463"/>
    <w:rsid w:val="006A78EF"/>
    <w:rsid w:val="006B10C3"/>
    <w:rsid w:val="006B1266"/>
    <w:rsid w:val="006B3AD5"/>
    <w:rsid w:val="006B5523"/>
    <w:rsid w:val="006B6A92"/>
    <w:rsid w:val="006C018B"/>
    <w:rsid w:val="006C18DF"/>
    <w:rsid w:val="006C48EE"/>
    <w:rsid w:val="006C4A86"/>
    <w:rsid w:val="006C5911"/>
    <w:rsid w:val="006D0768"/>
    <w:rsid w:val="006D13D3"/>
    <w:rsid w:val="006D2869"/>
    <w:rsid w:val="006D2E92"/>
    <w:rsid w:val="006D2F89"/>
    <w:rsid w:val="006D3BD3"/>
    <w:rsid w:val="006D3D66"/>
    <w:rsid w:val="006D6C57"/>
    <w:rsid w:val="006E036F"/>
    <w:rsid w:val="006E058D"/>
    <w:rsid w:val="006E48AD"/>
    <w:rsid w:val="006E4CF5"/>
    <w:rsid w:val="006F0732"/>
    <w:rsid w:val="006F0824"/>
    <w:rsid w:val="006F1585"/>
    <w:rsid w:val="006F2269"/>
    <w:rsid w:val="006F33C2"/>
    <w:rsid w:val="006F3410"/>
    <w:rsid w:val="006F489E"/>
    <w:rsid w:val="006F7D3E"/>
    <w:rsid w:val="00700DEF"/>
    <w:rsid w:val="007010B4"/>
    <w:rsid w:val="007013EA"/>
    <w:rsid w:val="007015B2"/>
    <w:rsid w:val="007022BB"/>
    <w:rsid w:val="0070398E"/>
    <w:rsid w:val="0070602D"/>
    <w:rsid w:val="007065B9"/>
    <w:rsid w:val="007066AD"/>
    <w:rsid w:val="00706E05"/>
    <w:rsid w:val="007106A3"/>
    <w:rsid w:val="00713CA9"/>
    <w:rsid w:val="007145F5"/>
    <w:rsid w:val="007149D3"/>
    <w:rsid w:val="00715D16"/>
    <w:rsid w:val="00715E4A"/>
    <w:rsid w:val="00716273"/>
    <w:rsid w:val="007167F5"/>
    <w:rsid w:val="00717E40"/>
    <w:rsid w:val="00721EED"/>
    <w:rsid w:val="00733794"/>
    <w:rsid w:val="007349E5"/>
    <w:rsid w:val="007357C6"/>
    <w:rsid w:val="0073628B"/>
    <w:rsid w:val="007379B3"/>
    <w:rsid w:val="0074195A"/>
    <w:rsid w:val="00743578"/>
    <w:rsid w:val="00746F82"/>
    <w:rsid w:val="00747D6D"/>
    <w:rsid w:val="00750663"/>
    <w:rsid w:val="00752531"/>
    <w:rsid w:val="0075495E"/>
    <w:rsid w:val="007559E1"/>
    <w:rsid w:val="007627C1"/>
    <w:rsid w:val="00762D77"/>
    <w:rsid w:val="0076339E"/>
    <w:rsid w:val="00763B54"/>
    <w:rsid w:val="00765B6F"/>
    <w:rsid w:val="00771218"/>
    <w:rsid w:val="007726AB"/>
    <w:rsid w:val="007748ED"/>
    <w:rsid w:val="00774DBC"/>
    <w:rsid w:val="00775F1A"/>
    <w:rsid w:val="0077738E"/>
    <w:rsid w:val="007774EA"/>
    <w:rsid w:val="007818AF"/>
    <w:rsid w:val="00783C39"/>
    <w:rsid w:val="007845F5"/>
    <w:rsid w:val="00784DFA"/>
    <w:rsid w:val="00784F73"/>
    <w:rsid w:val="00786A2D"/>
    <w:rsid w:val="00786BFF"/>
    <w:rsid w:val="00786DEF"/>
    <w:rsid w:val="00790F99"/>
    <w:rsid w:val="0079104F"/>
    <w:rsid w:val="00794591"/>
    <w:rsid w:val="00796E43"/>
    <w:rsid w:val="007A07E6"/>
    <w:rsid w:val="007A09A4"/>
    <w:rsid w:val="007A1FBA"/>
    <w:rsid w:val="007A329A"/>
    <w:rsid w:val="007B04BF"/>
    <w:rsid w:val="007B087D"/>
    <w:rsid w:val="007B1758"/>
    <w:rsid w:val="007B2110"/>
    <w:rsid w:val="007B2A39"/>
    <w:rsid w:val="007B34CC"/>
    <w:rsid w:val="007B6426"/>
    <w:rsid w:val="007C4943"/>
    <w:rsid w:val="007C4E11"/>
    <w:rsid w:val="007C5FA0"/>
    <w:rsid w:val="007C6DBB"/>
    <w:rsid w:val="007C764C"/>
    <w:rsid w:val="007D061A"/>
    <w:rsid w:val="007D20E5"/>
    <w:rsid w:val="007D4A8F"/>
    <w:rsid w:val="007D5060"/>
    <w:rsid w:val="007D5D71"/>
    <w:rsid w:val="007D6399"/>
    <w:rsid w:val="007E2322"/>
    <w:rsid w:val="007E2D04"/>
    <w:rsid w:val="007E492F"/>
    <w:rsid w:val="007E592F"/>
    <w:rsid w:val="007E657A"/>
    <w:rsid w:val="007E6C9A"/>
    <w:rsid w:val="007E6E07"/>
    <w:rsid w:val="007F1115"/>
    <w:rsid w:val="007F1BFF"/>
    <w:rsid w:val="007F1C48"/>
    <w:rsid w:val="007F246D"/>
    <w:rsid w:val="007F4A95"/>
    <w:rsid w:val="007F5943"/>
    <w:rsid w:val="007F59BB"/>
    <w:rsid w:val="008011D6"/>
    <w:rsid w:val="00802E04"/>
    <w:rsid w:val="008042C9"/>
    <w:rsid w:val="00804964"/>
    <w:rsid w:val="008053CE"/>
    <w:rsid w:val="00805415"/>
    <w:rsid w:val="008057D7"/>
    <w:rsid w:val="00812E3F"/>
    <w:rsid w:val="0081334D"/>
    <w:rsid w:val="00815BE4"/>
    <w:rsid w:val="00816D0D"/>
    <w:rsid w:val="0082416E"/>
    <w:rsid w:val="00830C4C"/>
    <w:rsid w:val="00831638"/>
    <w:rsid w:val="00833E3F"/>
    <w:rsid w:val="008368F7"/>
    <w:rsid w:val="00836905"/>
    <w:rsid w:val="0084609E"/>
    <w:rsid w:val="008468CC"/>
    <w:rsid w:val="008511F1"/>
    <w:rsid w:val="008514F1"/>
    <w:rsid w:val="00851E2D"/>
    <w:rsid w:val="00852732"/>
    <w:rsid w:val="00852C91"/>
    <w:rsid w:val="00854794"/>
    <w:rsid w:val="008549F2"/>
    <w:rsid w:val="008647EC"/>
    <w:rsid w:val="00864D08"/>
    <w:rsid w:val="008656F4"/>
    <w:rsid w:val="00871FCD"/>
    <w:rsid w:val="00872739"/>
    <w:rsid w:val="00872898"/>
    <w:rsid w:val="008731EF"/>
    <w:rsid w:val="0087353D"/>
    <w:rsid w:val="00874290"/>
    <w:rsid w:val="008743AA"/>
    <w:rsid w:val="0087726B"/>
    <w:rsid w:val="00882403"/>
    <w:rsid w:val="00884792"/>
    <w:rsid w:val="0088503A"/>
    <w:rsid w:val="00886EA3"/>
    <w:rsid w:val="00887718"/>
    <w:rsid w:val="008918EE"/>
    <w:rsid w:val="00891BD0"/>
    <w:rsid w:val="00891BE0"/>
    <w:rsid w:val="00893468"/>
    <w:rsid w:val="0089460A"/>
    <w:rsid w:val="0089760D"/>
    <w:rsid w:val="008A0314"/>
    <w:rsid w:val="008A2678"/>
    <w:rsid w:val="008A3275"/>
    <w:rsid w:val="008A5465"/>
    <w:rsid w:val="008B02EA"/>
    <w:rsid w:val="008B1DB0"/>
    <w:rsid w:val="008B276E"/>
    <w:rsid w:val="008B6DB5"/>
    <w:rsid w:val="008C4766"/>
    <w:rsid w:val="008D1C3D"/>
    <w:rsid w:val="008D2228"/>
    <w:rsid w:val="008D38CC"/>
    <w:rsid w:val="008D4EE5"/>
    <w:rsid w:val="008D5624"/>
    <w:rsid w:val="008D5A03"/>
    <w:rsid w:val="008E1AC0"/>
    <w:rsid w:val="008E1CB4"/>
    <w:rsid w:val="008E5121"/>
    <w:rsid w:val="008E5BCC"/>
    <w:rsid w:val="008E6BCC"/>
    <w:rsid w:val="008E6CDC"/>
    <w:rsid w:val="008F1030"/>
    <w:rsid w:val="008F3209"/>
    <w:rsid w:val="008F3661"/>
    <w:rsid w:val="008F4F2D"/>
    <w:rsid w:val="008F511C"/>
    <w:rsid w:val="008F58C0"/>
    <w:rsid w:val="009015AA"/>
    <w:rsid w:val="0090179E"/>
    <w:rsid w:val="0090189B"/>
    <w:rsid w:val="00903434"/>
    <w:rsid w:val="00907F9C"/>
    <w:rsid w:val="009128F3"/>
    <w:rsid w:val="0091300B"/>
    <w:rsid w:val="009148BA"/>
    <w:rsid w:val="00916061"/>
    <w:rsid w:val="00916667"/>
    <w:rsid w:val="00916E84"/>
    <w:rsid w:val="0092050F"/>
    <w:rsid w:val="00923F75"/>
    <w:rsid w:val="009246AC"/>
    <w:rsid w:val="00924C17"/>
    <w:rsid w:val="009258B4"/>
    <w:rsid w:val="009267E0"/>
    <w:rsid w:val="00930548"/>
    <w:rsid w:val="00930686"/>
    <w:rsid w:val="00931713"/>
    <w:rsid w:val="00934DC2"/>
    <w:rsid w:val="009356CB"/>
    <w:rsid w:val="00937553"/>
    <w:rsid w:val="00940F7F"/>
    <w:rsid w:val="009475C3"/>
    <w:rsid w:val="00951FB4"/>
    <w:rsid w:val="00953C4E"/>
    <w:rsid w:val="00953EBB"/>
    <w:rsid w:val="00954C32"/>
    <w:rsid w:val="00955FAD"/>
    <w:rsid w:val="00957D0A"/>
    <w:rsid w:val="00961C82"/>
    <w:rsid w:val="00965106"/>
    <w:rsid w:val="00965346"/>
    <w:rsid w:val="0096735D"/>
    <w:rsid w:val="00971421"/>
    <w:rsid w:val="00971906"/>
    <w:rsid w:val="00973132"/>
    <w:rsid w:val="00973D2A"/>
    <w:rsid w:val="00973D5D"/>
    <w:rsid w:val="00975090"/>
    <w:rsid w:val="0097509A"/>
    <w:rsid w:val="00975CAA"/>
    <w:rsid w:val="009762AF"/>
    <w:rsid w:val="009769F0"/>
    <w:rsid w:val="00977486"/>
    <w:rsid w:val="00980B93"/>
    <w:rsid w:val="00981C95"/>
    <w:rsid w:val="00982510"/>
    <w:rsid w:val="00983C05"/>
    <w:rsid w:val="00983EA2"/>
    <w:rsid w:val="0098593E"/>
    <w:rsid w:val="00985EE3"/>
    <w:rsid w:val="0099206B"/>
    <w:rsid w:val="00993E53"/>
    <w:rsid w:val="009941BA"/>
    <w:rsid w:val="0099460E"/>
    <w:rsid w:val="00995D36"/>
    <w:rsid w:val="00996270"/>
    <w:rsid w:val="009A25A8"/>
    <w:rsid w:val="009A65BE"/>
    <w:rsid w:val="009A754A"/>
    <w:rsid w:val="009A7920"/>
    <w:rsid w:val="009B0C81"/>
    <w:rsid w:val="009B1452"/>
    <w:rsid w:val="009B1587"/>
    <w:rsid w:val="009B3B06"/>
    <w:rsid w:val="009B442E"/>
    <w:rsid w:val="009B4742"/>
    <w:rsid w:val="009C0C61"/>
    <w:rsid w:val="009C2A45"/>
    <w:rsid w:val="009C6FA8"/>
    <w:rsid w:val="009C7F31"/>
    <w:rsid w:val="009D15B4"/>
    <w:rsid w:val="009D5D64"/>
    <w:rsid w:val="009D7F82"/>
    <w:rsid w:val="009E01A6"/>
    <w:rsid w:val="009E0CEF"/>
    <w:rsid w:val="009E0E6C"/>
    <w:rsid w:val="009E0F61"/>
    <w:rsid w:val="009E26CD"/>
    <w:rsid w:val="009E2871"/>
    <w:rsid w:val="009E29F1"/>
    <w:rsid w:val="009E3C38"/>
    <w:rsid w:val="009E41CD"/>
    <w:rsid w:val="009E56C1"/>
    <w:rsid w:val="009E5DE9"/>
    <w:rsid w:val="009E6260"/>
    <w:rsid w:val="009E6EDE"/>
    <w:rsid w:val="009E7AAC"/>
    <w:rsid w:val="009F00C6"/>
    <w:rsid w:val="009F1473"/>
    <w:rsid w:val="009F1AFA"/>
    <w:rsid w:val="009F257D"/>
    <w:rsid w:val="009F38C4"/>
    <w:rsid w:val="009F4D72"/>
    <w:rsid w:val="009F4D87"/>
    <w:rsid w:val="009F5F68"/>
    <w:rsid w:val="009F756D"/>
    <w:rsid w:val="00A00993"/>
    <w:rsid w:val="00A00D2D"/>
    <w:rsid w:val="00A01182"/>
    <w:rsid w:val="00A034C7"/>
    <w:rsid w:val="00A03DB0"/>
    <w:rsid w:val="00A04C26"/>
    <w:rsid w:val="00A04D31"/>
    <w:rsid w:val="00A05B35"/>
    <w:rsid w:val="00A060B2"/>
    <w:rsid w:val="00A062C4"/>
    <w:rsid w:val="00A07400"/>
    <w:rsid w:val="00A07BCC"/>
    <w:rsid w:val="00A1042E"/>
    <w:rsid w:val="00A114DD"/>
    <w:rsid w:val="00A15BC7"/>
    <w:rsid w:val="00A166CD"/>
    <w:rsid w:val="00A1686E"/>
    <w:rsid w:val="00A20087"/>
    <w:rsid w:val="00A202ED"/>
    <w:rsid w:val="00A2407C"/>
    <w:rsid w:val="00A24DA0"/>
    <w:rsid w:val="00A25B4D"/>
    <w:rsid w:val="00A26C38"/>
    <w:rsid w:val="00A27022"/>
    <w:rsid w:val="00A30C9C"/>
    <w:rsid w:val="00A3182C"/>
    <w:rsid w:val="00A3255C"/>
    <w:rsid w:val="00A34E19"/>
    <w:rsid w:val="00A364CD"/>
    <w:rsid w:val="00A36EB7"/>
    <w:rsid w:val="00A37CFC"/>
    <w:rsid w:val="00A40150"/>
    <w:rsid w:val="00A40324"/>
    <w:rsid w:val="00A4036C"/>
    <w:rsid w:val="00A40B98"/>
    <w:rsid w:val="00A40CD1"/>
    <w:rsid w:val="00A449F3"/>
    <w:rsid w:val="00A4514E"/>
    <w:rsid w:val="00A451B7"/>
    <w:rsid w:val="00A45DA0"/>
    <w:rsid w:val="00A461F7"/>
    <w:rsid w:val="00A47524"/>
    <w:rsid w:val="00A54FD9"/>
    <w:rsid w:val="00A55F80"/>
    <w:rsid w:val="00A56FFC"/>
    <w:rsid w:val="00A57F22"/>
    <w:rsid w:val="00A60741"/>
    <w:rsid w:val="00A60CA9"/>
    <w:rsid w:val="00A60D30"/>
    <w:rsid w:val="00A66CBF"/>
    <w:rsid w:val="00A66ED3"/>
    <w:rsid w:val="00A66F71"/>
    <w:rsid w:val="00A6724E"/>
    <w:rsid w:val="00A70A08"/>
    <w:rsid w:val="00A73210"/>
    <w:rsid w:val="00A73D6B"/>
    <w:rsid w:val="00A75CB2"/>
    <w:rsid w:val="00A77A15"/>
    <w:rsid w:val="00A800EB"/>
    <w:rsid w:val="00A807A5"/>
    <w:rsid w:val="00A8253A"/>
    <w:rsid w:val="00A82B44"/>
    <w:rsid w:val="00A8302F"/>
    <w:rsid w:val="00A83AB4"/>
    <w:rsid w:val="00A8410F"/>
    <w:rsid w:val="00A85937"/>
    <w:rsid w:val="00A8599A"/>
    <w:rsid w:val="00A86041"/>
    <w:rsid w:val="00A902D1"/>
    <w:rsid w:val="00A91EE0"/>
    <w:rsid w:val="00A92326"/>
    <w:rsid w:val="00A95A3B"/>
    <w:rsid w:val="00A9642F"/>
    <w:rsid w:val="00AA02B0"/>
    <w:rsid w:val="00AA172E"/>
    <w:rsid w:val="00AA1869"/>
    <w:rsid w:val="00AA266A"/>
    <w:rsid w:val="00AA268C"/>
    <w:rsid w:val="00AA2CD7"/>
    <w:rsid w:val="00AA5637"/>
    <w:rsid w:val="00AA7604"/>
    <w:rsid w:val="00AA7ACB"/>
    <w:rsid w:val="00AB2E64"/>
    <w:rsid w:val="00AB40B8"/>
    <w:rsid w:val="00AC0286"/>
    <w:rsid w:val="00AC0B74"/>
    <w:rsid w:val="00AC2795"/>
    <w:rsid w:val="00AC33C8"/>
    <w:rsid w:val="00AC3CA1"/>
    <w:rsid w:val="00AC3FDB"/>
    <w:rsid w:val="00AC4A16"/>
    <w:rsid w:val="00AD25D2"/>
    <w:rsid w:val="00AD3369"/>
    <w:rsid w:val="00AD5623"/>
    <w:rsid w:val="00AD611E"/>
    <w:rsid w:val="00AD7FC0"/>
    <w:rsid w:val="00AE082F"/>
    <w:rsid w:val="00AE098F"/>
    <w:rsid w:val="00AE0B6F"/>
    <w:rsid w:val="00AE1121"/>
    <w:rsid w:val="00AE2404"/>
    <w:rsid w:val="00AE542B"/>
    <w:rsid w:val="00AF0C05"/>
    <w:rsid w:val="00AF0EEB"/>
    <w:rsid w:val="00AF1EA3"/>
    <w:rsid w:val="00AF2878"/>
    <w:rsid w:val="00AF288D"/>
    <w:rsid w:val="00AF5A07"/>
    <w:rsid w:val="00AF65D5"/>
    <w:rsid w:val="00B00192"/>
    <w:rsid w:val="00B00737"/>
    <w:rsid w:val="00B00F67"/>
    <w:rsid w:val="00B04445"/>
    <w:rsid w:val="00B04A00"/>
    <w:rsid w:val="00B137A9"/>
    <w:rsid w:val="00B15504"/>
    <w:rsid w:val="00B157E2"/>
    <w:rsid w:val="00B16A02"/>
    <w:rsid w:val="00B16C03"/>
    <w:rsid w:val="00B17617"/>
    <w:rsid w:val="00B176E9"/>
    <w:rsid w:val="00B2028E"/>
    <w:rsid w:val="00B22589"/>
    <w:rsid w:val="00B22E35"/>
    <w:rsid w:val="00B24E32"/>
    <w:rsid w:val="00B24F82"/>
    <w:rsid w:val="00B25CDC"/>
    <w:rsid w:val="00B278F3"/>
    <w:rsid w:val="00B3387A"/>
    <w:rsid w:val="00B34A4E"/>
    <w:rsid w:val="00B37522"/>
    <w:rsid w:val="00B46DEE"/>
    <w:rsid w:val="00B47B20"/>
    <w:rsid w:val="00B51B9B"/>
    <w:rsid w:val="00B52D63"/>
    <w:rsid w:val="00B53A44"/>
    <w:rsid w:val="00B53B8E"/>
    <w:rsid w:val="00B54567"/>
    <w:rsid w:val="00B54C07"/>
    <w:rsid w:val="00B552F9"/>
    <w:rsid w:val="00B62594"/>
    <w:rsid w:val="00B637E6"/>
    <w:rsid w:val="00B63869"/>
    <w:rsid w:val="00B64978"/>
    <w:rsid w:val="00B66DEB"/>
    <w:rsid w:val="00B701AD"/>
    <w:rsid w:val="00B70AE5"/>
    <w:rsid w:val="00B70EC1"/>
    <w:rsid w:val="00B73D18"/>
    <w:rsid w:val="00B8033E"/>
    <w:rsid w:val="00B80D27"/>
    <w:rsid w:val="00B84954"/>
    <w:rsid w:val="00B855DE"/>
    <w:rsid w:val="00B869B7"/>
    <w:rsid w:val="00B878D1"/>
    <w:rsid w:val="00B90984"/>
    <w:rsid w:val="00B90C1C"/>
    <w:rsid w:val="00B90D7D"/>
    <w:rsid w:val="00B93BB3"/>
    <w:rsid w:val="00B951E3"/>
    <w:rsid w:val="00B962D1"/>
    <w:rsid w:val="00B970C3"/>
    <w:rsid w:val="00B97C49"/>
    <w:rsid w:val="00BA062A"/>
    <w:rsid w:val="00BB5035"/>
    <w:rsid w:val="00BB647A"/>
    <w:rsid w:val="00BC3CFB"/>
    <w:rsid w:val="00BC417C"/>
    <w:rsid w:val="00BC4A80"/>
    <w:rsid w:val="00BC5D32"/>
    <w:rsid w:val="00BC6D7A"/>
    <w:rsid w:val="00BC77EA"/>
    <w:rsid w:val="00BC7BC3"/>
    <w:rsid w:val="00BC7DD9"/>
    <w:rsid w:val="00BD0589"/>
    <w:rsid w:val="00BD4008"/>
    <w:rsid w:val="00BD40FA"/>
    <w:rsid w:val="00BD4DE1"/>
    <w:rsid w:val="00BD6120"/>
    <w:rsid w:val="00BD69F2"/>
    <w:rsid w:val="00BD76B8"/>
    <w:rsid w:val="00BE0BC3"/>
    <w:rsid w:val="00BE1441"/>
    <w:rsid w:val="00BE451E"/>
    <w:rsid w:val="00BE56CA"/>
    <w:rsid w:val="00BE62F0"/>
    <w:rsid w:val="00BF0E09"/>
    <w:rsid w:val="00BF13AD"/>
    <w:rsid w:val="00BF1734"/>
    <w:rsid w:val="00BF1A8E"/>
    <w:rsid w:val="00BF2AFD"/>
    <w:rsid w:val="00BF2C41"/>
    <w:rsid w:val="00BF2FE1"/>
    <w:rsid w:val="00BF3EC8"/>
    <w:rsid w:val="00BF454A"/>
    <w:rsid w:val="00BF55AA"/>
    <w:rsid w:val="00BF5A99"/>
    <w:rsid w:val="00C00180"/>
    <w:rsid w:val="00C01876"/>
    <w:rsid w:val="00C03B62"/>
    <w:rsid w:val="00C05D7E"/>
    <w:rsid w:val="00C073F3"/>
    <w:rsid w:val="00C1147E"/>
    <w:rsid w:val="00C11760"/>
    <w:rsid w:val="00C15471"/>
    <w:rsid w:val="00C160BF"/>
    <w:rsid w:val="00C20C57"/>
    <w:rsid w:val="00C21006"/>
    <w:rsid w:val="00C21855"/>
    <w:rsid w:val="00C22ECE"/>
    <w:rsid w:val="00C231DD"/>
    <w:rsid w:val="00C2361A"/>
    <w:rsid w:val="00C31F9A"/>
    <w:rsid w:val="00C33322"/>
    <w:rsid w:val="00C33CCE"/>
    <w:rsid w:val="00C35460"/>
    <w:rsid w:val="00C3768C"/>
    <w:rsid w:val="00C41845"/>
    <w:rsid w:val="00C42D1A"/>
    <w:rsid w:val="00C43F78"/>
    <w:rsid w:val="00C46831"/>
    <w:rsid w:val="00C57C67"/>
    <w:rsid w:val="00C60F89"/>
    <w:rsid w:val="00C61F41"/>
    <w:rsid w:val="00C62112"/>
    <w:rsid w:val="00C62F6C"/>
    <w:rsid w:val="00C6363A"/>
    <w:rsid w:val="00C64426"/>
    <w:rsid w:val="00C646F5"/>
    <w:rsid w:val="00C65532"/>
    <w:rsid w:val="00C6723C"/>
    <w:rsid w:val="00C73892"/>
    <w:rsid w:val="00C744EE"/>
    <w:rsid w:val="00C74909"/>
    <w:rsid w:val="00C80DB8"/>
    <w:rsid w:val="00C80E7C"/>
    <w:rsid w:val="00C81130"/>
    <w:rsid w:val="00C8507F"/>
    <w:rsid w:val="00C94851"/>
    <w:rsid w:val="00C94E62"/>
    <w:rsid w:val="00C96031"/>
    <w:rsid w:val="00C96510"/>
    <w:rsid w:val="00CA16A1"/>
    <w:rsid w:val="00CA30D0"/>
    <w:rsid w:val="00CA36CC"/>
    <w:rsid w:val="00CA512B"/>
    <w:rsid w:val="00CA5FAA"/>
    <w:rsid w:val="00CA7852"/>
    <w:rsid w:val="00CA7B27"/>
    <w:rsid w:val="00CB1A9A"/>
    <w:rsid w:val="00CB4705"/>
    <w:rsid w:val="00CB534F"/>
    <w:rsid w:val="00CB5B0B"/>
    <w:rsid w:val="00CB6006"/>
    <w:rsid w:val="00CB760F"/>
    <w:rsid w:val="00CB7DF1"/>
    <w:rsid w:val="00CC20DB"/>
    <w:rsid w:val="00CC3968"/>
    <w:rsid w:val="00CC3F93"/>
    <w:rsid w:val="00CC4F46"/>
    <w:rsid w:val="00CC559B"/>
    <w:rsid w:val="00CC7771"/>
    <w:rsid w:val="00CD633E"/>
    <w:rsid w:val="00CD76B4"/>
    <w:rsid w:val="00CD7F04"/>
    <w:rsid w:val="00CE0669"/>
    <w:rsid w:val="00CE6B22"/>
    <w:rsid w:val="00CE7702"/>
    <w:rsid w:val="00CE7B49"/>
    <w:rsid w:val="00CF1579"/>
    <w:rsid w:val="00CF1C4D"/>
    <w:rsid w:val="00CF79DD"/>
    <w:rsid w:val="00CF7A98"/>
    <w:rsid w:val="00D00A23"/>
    <w:rsid w:val="00D0281E"/>
    <w:rsid w:val="00D02CCB"/>
    <w:rsid w:val="00D03842"/>
    <w:rsid w:val="00D03F1E"/>
    <w:rsid w:val="00D059A6"/>
    <w:rsid w:val="00D0678C"/>
    <w:rsid w:val="00D076C9"/>
    <w:rsid w:val="00D120A7"/>
    <w:rsid w:val="00D160D3"/>
    <w:rsid w:val="00D2100D"/>
    <w:rsid w:val="00D23733"/>
    <w:rsid w:val="00D240CD"/>
    <w:rsid w:val="00D2703F"/>
    <w:rsid w:val="00D274BF"/>
    <w:rsid w:val="00D31B02"/>
    <w:rsid w:val="00D3372E"/>
    <w:rsid w:val="00D35832"/>
    <w:rsid w:val="00D372A1"/>
    <w:rsid w:val="00D4123E"/>
    <w:rsid w:val="00D4168E"/>
    <w:rsid w:val="00D41EE8"/>
    <w:rsid w:val="00D44446"/>
    <w:rsid w:val="00D46888"/>
    <w:rsid w:val="00D50436"/>
    <w:rsid w:val="00D50A89"/>
    <w:rsid w:val="00D5450E"/>
    <w:rsid w:val="00D55194"/>
    <w:rsid w:val="00D60E39"/>
    <w:rsid w:val="00D63575"/>
    <w:rsid w:val="00D63CA3"/>
    <w:rsid w:val="00D63D41"/>
    <w:rsid w:val="00D63FF9"/>
    <w:rsid w:val="00D6609B"/>
    <w:rsid w:val="00D6736E"/>
    <w:rsid w:val="00D704FB"/>
    <w:rsid w:val="00D705CA"/>
    <w:rsid w:val="00D70765"/>
    <w:rsid w:val="00D71151"/>
    <w:rsid w:val="00D726F4"/>
    <w:rsid w:val="00D730E0"/>
    <w:rsid w:val="00D73542"/>
    <w:rsid w:val="00D74016"/>
    <w:rsid w:val="00D746CD"/>
    <w:rsid w:val="00D758DB"/>
    <w:rsid w:val="00D76D08"/>
    <w:rsid w:val="00D77EBA"/>
    <w:rsid w:val="00D8105C"/>
    <w:rsid w:val="00D83462"/>
    <w:rsid w:val="00D83A83"/>
    <w:rsid w:val="00D869B9"/>
    <w:rsid w:val="00D90EBC"/>
    <w:rsid w:val="00D9260F"/>
    <w:rsid w:val="00D9306E"/>
    <w:rsid w:val="00D93FEF"/>
    <w:rsid w:val="00D94D39"/>
    <w:rsid w:val="00D9720B"/>
    <w:rsid w:val="00DA0068"/>
    <w:rsid w:val="00DA17EC"/>
    <w:rsid w:val="00DA1DEC"/>
    <w:rsid w:val="00DA23D0"/>
    <w:rsid w:val="00DA2652"/>
    <w:rsid w:val="00DA2ABE"/>
    <w:rsid w:val="00DA2C43"/>
    <w:rsid w:val="00DA3757"/>
    <w:rsid w:val="00DA6ECA"/>
    <w:rsid w:val="00DA6F44"/>
    <w:rsid w:val="00DB0FA9"/>
    <w:rsid w:val="00DB2845"/>
    <w:rsid w:val="00DB2A6E"/>
    <w:rsid w:val="00DB33F2"/>
    <w:rsid w:val="00DB4027"/>
    <w:rsid w:val="00DB54CF"/>
    <w:rsid w:val="00DB62CF"/>
    <w:rsid w:val="00DB78A5"/>
    <w:rsid w:val="00DC0454"/>
    <w:rsid w:val="00DC2E07"/>
    <w:rsid w:val="00DC4872"/>
    <w:rsid w:val="00DC50A9"/>
    <w:rsid w:val="00DD0FE0"/>
    <w:rsid w:val="00DD11F6"/>
    <w:rsid w:val="00DD34BC"/>
    <w:rsid w:val="00DD3FB6"/>
    <w:rsid w:val="00DD5EB0"/>
    <w:rsid w:val="00DE01EA"/>
    <w:rsid w:val="00DE1603"/>
    <w:rsid w:val="00DE364B"/>
    <w:rsid w:val="00DE365C"/>
    <w:rsid w:val="00DE7163"/>
    <w:rsid w:val="00DE785C"/>
    <w:rsid w:val="00DF48CA"/>
    <w:rsid w:val="00DF5648"/>
    <w:rsid w:val="00DF5A5C"/>
    <w:rsid w:val="00E00973"/>
    <w:rsid w:val="00E01821"/>
    <w:rsid w:val="00E0214A"/>
    <w:rsid w:val="00E02F34"/>
    <w:rsid w:val="00E0380C"/>
    <w:rsid w:val="00E05608"/>
    <w:rsid w:val="00E065E3"/>
    <w:rsid w:val="00E069CD"/>
    <w:rsid w:val="00E104CA"/>
    <w:rsid w:val="00E11877"/>
    <w:rsid w:val="00E11EBF"/>
    <w:rsid w:val="00E127FB"/>
    <w:rsid w:val="00E156CD"/>
    <w:rsid w:val="00E17E42"/>
    <w:rsid w:val="00E20473"/>
    <w:rsid w:val="00E20B33"/>
    <w:rsid w:val="00E21193"/>
    <w:rsid w:val="00E2291D"/>
    <w:rsid w:val="00E234EF"/>
    <w:rsid w:val="00E24346"/>
    <w:rsid w:val="00E26B90"/>
    <w:rsid w:val="00E26C51"/>
    <w:rsid w:val="00E317CA"/>
    <w:rsid w:val="00E32BD5"/>
    <w:rsid w:val="00E34F00"/>
    <w:rsid w:val="00E40CCB"/>
    <w:rsid w:val="00E418CA"/>
    <w:rsid w:val="00E41AF8"/>
    <w:rsid w:val="00E4257D"/>
    <w:rsid w:val="00E47A7D"/>
    <w:rsid w:val="00E5298D"/>
    <w:rsid w:val="00E52E99"/>
    <w:rsid w:val="00E559BD"/>
    <w:rsid w:val="00E61238"/>
    <w:rsid w:val="00E622A7"/>
    <w:rsid w:val="00E64834"/>
    <w:rsid w:val="00E67A2B"/>
    <w:rsid w:val="00E70268"/>
    <w:rsid w:val="00E72E53"/>
    <w:rsid w:val="00E7318C"/>
    <w:rsid w:val="00E73236"/>
    <w:rsid w:val="00E73DDA"/>
    <w:rsid w:val="00E7484D"/>
    <w:rsid w:val="00E77008"/>
    <w:rsid w:val="00E8036F"/>
    <w:rsid w:val="00E8279C"/>
    <w:rsid w:val="00E828D3"/>
    <w:rsid w:val="00E833B2"/>
    <w:rsid w:val="00E84047"/>
    <w:rsid w:val="00E86BCA"/>
    <w:rsid w:val="00E86C29"/>
    <w:rsid w:val="00E903FF"/>
    <w:rsid w:val="00E90826"/>
    <w:rsid w:val="00E90EAB"/>
    <w:rsid w:val="00E9362F"/>
    <w:rsid w:val="00E948D4"/>
    <w:rsid w:val="00E952D9"/>
    <w:rsid w:val="00E959AE"/>
    <w:rsid w:val="00E96E10"/>
    <w:rsid w:val="00E975BB"/>
    <w:rsid w:val="00EA5066"/>
    <w:rsid w:val="00EA63D8"/>
    <w:rsid w:val="00EA6C48"/>
    <w:rsid w:val="00EA6CC8"/>
    <w:rsid w:val="00EA72AB"/>
    <w:rsid w:val="00EB1FD3"/>
    <w:rsid w:val="00EB4F93"/>
    <w:rsid w:val="00EB730C"/>
    <w:rsid w:val="00EB74B0"/>
    <w:rsid w:val="00EC16C3"/>
    <w:rsid w:val="00EC36D8"/>
    <w:rsid w:val="00EC4AF0"/>
    <w:rsid w:val="00EC506B"/>
    <w:rsid w:val="00EC5194"/>
    <w:rsid w:val="00EC67AC"/>
    <w:rsid w:val="00ED18E5"/>
    <w:rsid w:val="00ED1E20"/>
    <w:rsid w:val="00ED46DF"/>
    <w:rsid w:val="00EE1623"/>
    <w:rsid w:val="00EE5A8F"/>
    <w:rsid w:val="00EE61F0"/>
    <w:rsid w:val="00EF0020"/>
    <w:rsid w:val="00EF3A9F"/>
    <w:rsid w:val="00EF5184"/>
    <w:rsid w:val="00EF63FC"/>
    <w:rsid w:val="00EF71E1"/>
    <w:rsid w:val="00EF79F2"/>
    <w:rsid w:val="00F00848"/>
    <w:rsid w:val="00F00C4C"/>
    <w:rsid w:val="00F01910"/>
    <w:rsid w:val="00F0267A"/>
    <w:rsid w:val="00F04473"/>
    <w:rsid w:val="00F051B9"/>
    <w:rsid w:val="00F0579D"/>
    <w:rsid w:val="00F059C0"/>
    <w:rsid w:val="00F06A48"/>
    <w:rsid w:val="00F06D04"/>
    <w:rsid w:val="00F06ED8"/>
    <w:rsid w:val="00F10AE5"/>
    <w:rsid w:val="00F10B6D"/>
    <w:rsid w:val="00F14115"/>
    <w:rsid w:val="00F1427A"/>
    <w:rsid w:val="00F14CFD"/>
    <w:rsid w:val="00F15696"/>
    <w:rsid w:val="00F17B94"/>
    <w:rsid w:val="00F205B5"/>
    <w:rsid w:val="00F21011"/>
    <w:rsid w:val="00F216A5"/>
    <w:rsid w:val="00F240C7"/>
    <w:rsid w:val="00F26045"/>
    <w:rsid w:val="00F27B65"/>
    <w:rsid w:val="00F27DE2"/>
    <w:rsid w:val="00F300B1"/>
    <w:rsid w:val="00F301EC"/>
    <w:rsid w:val="00F302F0"/>
    <w:rsid w:val="00F307B6"/>
    <w:rsid w:val="00F30875"/>
    <w:rsid w:val="00F3159F"/>
    <w:rsid w:val="00F34BCC"/>
    <w:rsid w:val="00F35215"/>
    <w:rsid w:val="00F3532D"/>
    <w:rsid w:val="00F35836"/>
    <w:rsid w:val="00F36A2B"/>
    <w:rsid w:val="00F37384"/>
    <w:rsid w:val="00F417D0"/>
    <w:rsid w:val="00F41EA0"/>
    <w:rsid w:val="00F43FBF"/>
    <w:rsid w:val="00F44F93"/>
    <w:rsid w:val="00F45F10"/>
    <w:rsid w:val="00F46A4D"/>
    <w:rsid w:val="00F46C2A"/>
    <w:rsid w:val="00F46E7E"/>
    <w:rsid w:val="00F50760"/>
    <w:rsid w:val="00F50B95"/>
    <w:rsid w:val="00F51DDB"/>
    <w:rsid w:val="00F53C4D"/>
    <w:rsid w:val="00F53C91"/>
    <w:rsid w:val="00F568D3"/>
    <w:rsid w:val="00F63580"/>
    <w:rsid w:val="00F6362D"/>
    <w:rsid w:val="00F63EDE"/>
    <w:rsid w:val="00F65F05"/>
    <w:rsid w:val="00F66F04"/>
    <w:rsid w:val="00F67CC0"/>
    <w:rsid w:val="00F72958"/>
    <w:rsid w:val="00F7370B"/>
    <w:rsid w:val="00F73844"/>
    <w:rsid w:val="00F751BB"/>
    <w:rsid w:val="00F767B9"/>
    <w:rsid w:val="00F768AA"/>
    <w:rsid w:val="00F772CE"/>
    <w:rsid w:val="00F813CA"/>
    <w:rsid w:val="00F84DAD"/>
    <w:rsid w:val="00F8578D"/>
    <w:rsid w:val="00F86806"/>
    <w:rsid w:val="00F87725"/>
    <w:rsid w:val="00F918B1"/>
    <w:rsid w:val="00F92729"/>
    <w:rsid w:val="00F94FD9"/>
    <w:rsid w:val="00F950E8"/>
    <w:rsid w:val="00FA4000"/>
    <w:rsid w:val="00FB1D64"/>
    <w:rsid w:val="00FB3EAC"/>
    <w:rsid w:val="00FB6327"/>
    <w:rsid w:val="00FC1266"/>
    <w:rsid w:val="00FC695E"/>
    <w:rsid w:val="00FD0154"/>
    <w:rsid w:val="00FD1DB5"/>
    <w:rsid w:val="00FD4029"/>
    <w:rsid w:val="00FD5EB3"/>
    <w:rsid w:val="00FD6CAB"/>
    <w:rsid w:val="00FD7E6B"/>
    <w:rsid w:val="00FE461D"/>
    <w:rsid w:val="00FE6582"/>
    <w:rsid w:val="00FE73EB"/>
    <w:rsid w:val="00FE743D"/>
    <w:rsid w:val="00FF0604"/>
    <w:rsid w:val="00FF294E"/>
    <w:rsid w:val="00FF2E3E"/>
    <w:rsid w:val="00FF2E48"/>
    <w:rsid w:val="00FF4140"/>
    <w:rsid w:val="00FF51F0"/>
    <w:rsid w:val="00FF54B7"/>
    <w:rsid w:val="00FF579D"/>
    <w:rsid w:val="00FF6112"/>
    <w:rsid w:val="00FF7267"/>
    <w:rsid w:val="014D6F66"/>
    <w:rsid w:val="02D96D8B"/>
    <w:rsid w:val="0822060B"/>
    <w:rsid w:val="08FD2E27"/>
    <w:rsid w:val="0B4C5CFD"/>
    <w:rsid w:val="0E7E2314"/>
    <w:rsid w:val="0FA33E30"/>
    <w:rsid w:val="101A031D"/>
    <w:rsid w:val="11685F36"/>
    <w:rsid w:val="11E228D3"/>
    <w:rsid w:val="12130F69"/>
    <w:rsid w:val="12FB0E24"/>
    <w:rsid w:val="132F6D22"/>
    <w:rsid w:val="14E05AD6"/>
    <w:rsid w:val="1AA81DAB"/>
    <w:rsid w:val="1AD65B57"/>
    <w:rsid w:val="1BA813A4"/>
    <w:rsid w:val="1C253B01"/>
    <w:rsid w:val="1C3144E8"/>
    <w:rsid w:val="1F0D0A0A"/>
    <w:rsid w:val="1F5A57E2"/>
    <w:rsid w:val="1FA66F4A"/>
    <w:rsid w:val="20DE6C42"/>
    <w:rsid w:val="21070C50"/>
    <w:rsid w:val="2108774E"/>
    <w:rsid w:val="21E71B28"/>
    <w:rsid w:val="22E136E3"/>
    <w:rsid w:val="24A52A74"/>
    <w:rsid w:val="27E90ABF"/>
    <w:rsid w:val="2BFC2575"/>
    <w:rsid w:val="2E7E2CA7"/>
    <w:rsid w:val="2EC3135E"/>
    <w:rsid w:val="2F75150B"/>
    <w:rsid w:val="304328F0"/>
    <w:rsid w:val="33AE68D9"/>
    <w:rsid w:val="3595356A"/>
    <w:rsid w:val="35C54AD7"/>
    <w:rsid w:val="367C5B30"/>
    <w:rsid w:val="37FC29DB"/>
    <w:rsid w:val="39BB2E8F"/>
    <w:rsid w:val="39C3314D"/>
    <w:rsid w:val="3A3E6C77"/>
    <w:rsid w:val="3C617D07"/>
    <w:rsid w:val="3E59580C"/>
    <w:rsid w:val="4092157C"/>
    <w:rsid w:val="40AC7344"/>
    <w:rsid w:val="44782D86"/>
    <w:rsid w:val="45A87810"/>
    <w:rsid w:val="46152870"/>
    <w:rsid w:val="4749647C"/>
    <w:rsid w:val="47975C19"/>
    <w:rsid w:val="493D0EE1"/>
    <w:rsid w:val="4A5C451E"/>
    <w:rsid w:val="4A6649BF"/>
    <w:rsid w:val="4AD873B8"/>
    <w:rsid w:val="4B9422CC"/>
    <w:rsid w:val="4BD554F3"/>
    <w:rsid w:val="4E7D64B2"/>
    <w:rsid w:val="4F5F2BFB"/>
    <w:rsid w:val="51937B7E"/>
    <w:rsid w:val="51E07930"/>
    <w:rsid w:val="523A10B6"/>
    <w:rsid w:val="53300789"/>
    <w:rsid w:val="54012D25"/>
    <w:rsid w:val="570B09C9"/>
    <w:rsid w:val="58C95073"/>
    <w:rsid w:val="59E566C8"/>
    <w:rsid w:val="5A1457D2"/>
    <w:rsid w:val="5CE95CC1"/>
    <w:rsid w:val="5D54489B"/>
    <w:rsid w:val="5F7E49A2"/>
    <w:rsid w:val="60073B76"/>
    <w:rsid w:val="625978FB"/>
    <w:rsid w:val="63706F37"/>
    <w:rsid w:val="67550FD9"/>
    <w:rsid w:val="67A56C71"/>
    <w:rsid w:val="6A1860EC"/>
    <w:rsid w:val="6AE516E2"/>
    <w:rsid w:val="6AEA5EDC"/>
    <w:rsid w:val="6BE446D9"/>
    <w:rsid w:val="6E731356"/>
    <w:rsid w:val="6ED40555"/>
    <w:rsid w:val="6F7E1B3C"/>
    <w:rsid w:val="70223303"/>
    <w:rsid w:val="709C31F1"/>
    <w:rsid w:val="73724CC1"/>
    <w:rsid w:val="742835D1"/>
    <w:rsid w:val="74420229"/>
    <w:rsid w:val="7878626E"/>
    <w:rsid w:val="7A154B23"/>
    <w:rsid w:val="7AAF1560"/>
    <w:rsid w:val="7C2D7BD9"/>
    <w:rsid w:val="7D531340"/>
    <w:rsid w:val="7D5A7E61"/>
    <w:rsid w:val="7E61605D"/>
    <w:rsid w:val="7EE93836"/>
    <w:rsid w:val="BFFFF9D3"/>
    <w:rsid w:val="FFFE1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2"/>
    <w:semiHidden/>
    <w:qFormat/>
    <w:uiPriority w:val="99"/>
    <w:rPr>
      <w:rFonts w:ascii="Calibri" w:hAnsi="Calibri" w:eastAsia="宋体" w:cs="Times New Roman"/>
      <w:sz w:val="18"/>
      <w:szCs w:val="18"/>
    </w:rPr>
  </w:style>
  <w:style w:type="character" w:customStyle="1" w:styleId="10">
    <w:name w:val="页眉 Char"/>
    <w:basedOn w:val="8"/>
    <w:link w:val="4"/>
    <w:qFormat/>
    <w:uiPriority w:val="99"/>
    <w:rPr>
      <w:rFonts w:ascii="Calibri" w:hAnsi="Calibri" w:eastAsia="宋体" w:cs="Times New Roman"/>
      <w:sz w:val="18"/>
      <w:szCs w:val="18"/>
    </w:rPr>
  </w:style>
  <w:style w:type="character" w:customStyle="1" w:styleId="11">
    <w:name w:val="页脚 Char"/>
    <w:basedOn w:val="8"/>
    <w:link w:val="3"/>
    <w:qFormat/>
    <w:uiPriority w:val="99"/>
    <w:rPr>
      <w:rFonts w:ascii="Calibri" w:hAnsi="Calibri" w:eastAsia="宋体" w:cs="Times New Roman"/>
      <w:sz w:val="18"/>
      <w:szCs w:val="18"/>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5502</Words>
  <Characters>6361</Characters>
  <Lines>72</Lines>
  <Paragraphs>20</Paragraphs>
  <TotalTime>23</TotalTime>
  <ScaleCrop>false</ScaleCrop>
  <LinksUpToDate>false</LinksUpToDate>
  <CharactersWithSpaces>6427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2021-01-27T07:29:00Z</dcterms:created>
  <dc:creator>夏敬周</dc:creator>
  <cp:lastModifiedBy>打浆果ྀི</cp:lastModifiedBy>
  <cp:lastPrinted>2021-01-29T00:22:00Z</cp:lastPrinted>
  <dcterms:modified xsi:type="dcterms:W3CDTF">2023-01-18T07:47:48Z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7256B9A0DEF144B09EF23F5B363151AE</vt:lpwstr>
  </property>
</Properties>
</file>